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41250816"/>
    <w:bookmarkStart w:id="1" w:name="_Toc446535862"/>
    <w:p w14:paraId="47EB8628" w14:textId="77777777" w:rsidR="007A392C" w:rsidRPr="00693CDB" w:rsidRDefault="00851C95">
      <w:pPr>
        <w:pStyle w:val="TOC1"/>
        <w:spacing w:before="100" w:after="100"/>
        <w:jc w:val="center"/>
        <w:rPr>
          <w:b w:val="0"/>
          <w:caps w:val="0"/>
          <w:szCs w:val="24"/>
          <w:lang w:val="pt-PT"/>
        </w:rPr>
      </w:pPr>
      <w:r w:rsidRPr="00693CDB">
        <w:rPr>
          <w:rStyle w:val="Hyperlink"/>
          <w:color w:val="auto"/>
        </w:rPr>
        <w:fldChar w:fldCharType="begin"/>
      </w:r>
      <w:r w:rsidRPr="00693CDB">
        <w:rPr>
          <w:rStyle w:val="Hyperlink"/>
          <w:color w:val="auto"/>
          <w:lang w:val="pt-PT"/>
        </w:rPr>
        <w:instrText xml:space="preserve"> </w:instrText>
      </w:r>
      <w:r w:rsidRPr="00693CDB">
        <w:rPr>
          <w:lang w:val="pt-PT"/>
        </w:rPr>
        <w:instrText>HYPERLINK \l "_Toc446535860"</w:instrText>
      </w:r>
      <w:r w:rsidRPr="00693CDB">
        <w:rPr>
          <w:rStyle w:val="Hyperlink"/>
          <w:color w:val="auto"/>
          <w:lang w:val="pt-PT"/>
        </w:rPr>
        <w:instrText xml:space="preserve"> </w:instrText>
      </w:r>
      <w:r w:rsidRPr="00693CDB">
        <w:rPr>
          <w:rStyle w:val="Hyperlink"/>
          <w:color w:val="auto"/>
        </w:rPr>
        <w:fldChar w:fldCharType="separate"/>
      </w:r>
      <w:r w:rsidRPr="00693CDB">
        <w:rPr>
          <w:rStyle w:val="Hyperlink"/>
          <w:color w:val="auto"/>
          <w:lang w:val="pt-PT"/>
        </w:rPr>
        <w:t>ANEXO I — CONDIÇÕES GERAIS</w:t>
      </w:r>
      <w:r w:rsidRPr="00693CDB">
        <w:rPr>
          <w:rStyle w:val="Hyperlink"/>
          <w:color w:val="auto"/>
        </w:rPr>
        <w:fldChar w:fldCharType="end"/>
      </w:r>
    </w:p>
    <w:p w14:paraId="31867E6E" w14:textId="77777777" w:rsidR="007A392C" w:rsidRPr="00693CDB" w:rsidRDefault="00693CDB">
      <w:pPr>
        <w:pStyle w:val="TOC1"/>
        <w:jc w:val="center"/>
        <w:rPr>
          <w:b w:val="0"/>
          <w:caps w:val="0"/>
          <w:szCs w:val="24"/>
          <w:lang w:val="pt-PT"/>
        </w:rPr>
      </w:pPr>
      <w:hyperlink w:anchor="_Toc446535861" w:history="1">
        <w:r w:rsidR="00B666F3" w:rsidRPr="00693CDB">
          <w:rPr>
            <w:rStyle w:val="Hyperlink"/>
            <w:color w:val="auto"/>
            <w:lang w:val="pt-PT"/>
          </w:rPr>
          <w:t>Índice</w:t>
        </w:r>
      </w:hyperlink>
    </w:p>
    <w:p w14:paraId="0FAD09E5" w14:textId="717FC192" w:rsidR="007A392C" w:rsidRPr="00693CDB" w:rsidRDefault="00693CDB">
      <w:pPr>
        <w:pStyle w:val="TOC1"/>
        <w:rPr>
          <w:b w:val="0"/>
          <w:caps w:val="0"/>
          <w:szCs w:val="24"/>
          <w:lang w:val="pt-PT"/>
        </w:rPr>
      </w:pPr>
      <w:hyperlink w:anchor="_Toc446535862" w:history="1">
        <w:r w:rsidR="00B666F3" w:rsidRPr="00693CDB">
          <w:rPr>
            <w:rStyle w:val="Hyperlink"/>
            <w:color w:val="auto"/>
            <w:lang w:val="pt-PT"/>
          </w:rPr>
          <w:t>PARTE A — DISPOSIÇÕES JURÍDICAS E ADMINISTRATIVAS</w:t>
        </w:r>
        <w:r w:rsidR="00B666F3" w:rsidRPr="00693CDB">
          <w:rPr>
            <w:webHidden/>
            <w:lang w:val="pt-PT"/>
          </w:rPr>
          <w:tab/>
        </w:r>
        <w:r w:rsidR="00B666F3" w:rsidRPr="00693CDB">
          <w:rPr>
            <w:b w:val="0"/>
            <w:webHidden/>
          </w:rPr>
          <w:fldChar w:fldCharType="begin"/>
        </w:r>
        <w:r w:rsidR="00B666F3" w:rsidRPr="00693CDB">
          <w:rPr>
            <w:b w:val="0"/>
            <w:webHidden/>
            <w:lang w:val="pt-PT"/>
          </w:rPr>
          <w:instrText xml:space="preserve"> PAGEREF _Toc446535862 \h </w:instrText>
        </w:r>
        <w:r w:rsidR="00B666F3" w:rsidRPr="00693CDB">
          <w:rPr>
            <w:b w:val="0"/>
            <w:webHidden/>
          </w:rPr>
        </w:r>
        <w:r w:rsidR="00B666F3" w:rsidRPr="00693CDB">
          <w:rPr>
            <w:b w:val="0"/>
            <w:webHidden/>
          </w:rPr>
          <w:fldChar w:fldCharType="separate"/>
        </w:r>
        <w:r w:rsidR="00B666F3" w:rsidRPr="00693CDB">
          <w:rPr>
            <w:b w:val="0"/>
            <w:webHidden/>
            <w:lang w:val="pt-PT"/>
          </w:rPr>
          <w:t>1</w:t>
        </w:r>
        <w:r w:rsidR="00B666F3" w:rsidRPr="00693CDB">
          <w:rPr>
            <w:b w:val="0"/>
            <w:webHidden/>
          </w:rPr>
          <w:fldChar w:fldCharType="end"/>
        </w:r>
      </w:hyperlink>
    </w:p>
    <w:p w14:paraId="7C61580D" w14:textId="20BC7AD9" w:rsidR="007A392C" w:rsidRPr="00693CDB" w:rsidRDefault="00693CDB">
      <w:pPr>
        <w:pStyle w:val="TOC2"/>
        <w:rPr>
          <w:szCs w:val="24"/>
          <w:lang w:val="pt-PT"/>
        </w:rPr>
      </w:pPr>
      <w:hyperlink w:anchor="_Toc446535863" w:history="1">
        <w:r w:rsidR="00B666F3" w:rsidRPr="00693CDB">
          <w:rPr>
            <w:rStyle w:val="Hyperlink"/>
            <w:color w:val="auto"/>
            <w:lang w:val="pt-PT"/>
          </w:rPr>
          <w:t>Artigo II.1 — Definições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_Toc446535863 \h </w:instrText>
        </w:r>
        <w:r w:rsidR="00B666F3" w:rsidRPr="00693CDB">
          <w:rPr>
            <w:webHidden/>
          </w:rPr>
        </w:r>
        <w:r w:rsidR="00B666F3" w:rsidRPr="00693CDB">
          <w:rPr>
            <w:webHidden/>
          </w:rPr>
          <w:fldChar w:fldCharType="separate"/>
        </w:r>
        <w:r w:rsidR="00B666F3" w:rsidRPr="00693CDB">
          <w:rPr>
            <w:webHidden/>
            <w:lang w:val="pt-PT"/>
          </w:rPr>
          <w:t>5</w:t>
        </w:r>
        <w:r w:rsidR="00B666F3" w:rsidRPr="00693CDB">
          <w:rPr>
            <w:webHidden/>
          </w:rPr>
          <w:fldChar w:fldCharType="end"/>
        </w:r>
      </w:hyperlink>
    </w:p>
    <w:p w14:paraId="3D7BDDF6" w14:textId="660B8D3B" w:rsidR="007A392C" w:rsidRPr="00693CDB" w:rsidRDefault="00693CDB">
      <w:pPr>
        <w:pStyle w:val="TOC2"/>
        <w:rPr>
          <w:szCs w:val="24"/>
          <w:lang w:val="pt-PT"/>
        </w:rPr>
      </w:pPr>
      <w:hyperlink w:anchor="_Toc446535864" w:history="1">
        <w:r w:rsidR="00B666F3" w:rsidRPr="00693CDB">
          <w:rPr>
            <w:rStyle w:val="Hyperlink"/>
            <w:color w:val="auto"/>
            <w:lang w:val="pt-PT"/>
          </w:rPr>
          <w:t>Artigo II.2 — Obrigações gerais do beneficiário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_Toc446535864 \h </w:instrText>
        </w:r>
        <w:r w:rsidR="00B666F3" w:rsidRPr="00693CDB">
          <w:rPr>
            <w:webHidden/>
          </w:rPr>
        </w:r>
        <w:r w:rsidR="00B666F3" w:rsidRPr="00693CDB">
          <w:rPr>
            <w:webHidden/>
          </w:rPr>
          <w:fldChar w:fldCharType="separate"/>
        </w:r>
        <w:r w:rsidR="00B666F3" w:rsidRPr="00693CDB">
          <w:rPr>
            <w:webHidden/>
            <w:lang w:val="pt-PT"/>
          </w:rPr>
          <w:t>6</w:t>
        </w:r>
        <w:r w:rsidR="00B666F3" w:rsidRPr="00693CDB">
          <w:rPr>
            <w:webHidden/>
          </w:rPr>
          <w:fldChar w:fldCharType="end"/>
        </w:r>
      </w:hyperlink>
    </w:p>
    <w:p w14:paraId="53FF0E4B" w14:textId="6435EE18" w:rsidR="007A392C" w:rsidRPr="00693CDB" w:rsidRDefault="00693CDB">
      <w:pPr>
        <w:pStyle w:val="TOC2"/>
        <w:rPr>
          <w:szCs w:val="24"/>
          <w:lang w:val="pt-PT"/>
        </w:rPr>
      </w:pPr>
      <w:hyperlink w:anchor="_Toc446535865" w:history="1">
        <w:r w:rsidR="00B666F3" w:rsidRPr="00693CDB">
          <w:rPr>
            <w:rStyle w:val="Hyperlink"/>
            <w:color w:val="auto"/>
            <w:lang w:val="pt-PT"/>
          </w:rPr>
          <w:t>Artigo II.3 — Comunicação entre as partes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_Toc446535865 \h </w:instrText>
        </w:r>
        <w:r w:rsidR="00B666F3" w:rsidRPr="00693CDB">
          <w:rPr>
            <w:webHidden/>
          </w:rPr>
        </w:r>
        <w:r w:rsidR="00B666F3" w:rsidRPr="00693CDB">
          <w:rPr>
            <w:webHidden/>
          </w:rPr>
          <w:fldChar w:fldCharType="separate"/>
        </w:r>
        <w:r w:rsidR="00B666F3" w:rsidRPr="00693CDB">
          <w:rPr>
            <w:webHidden/>
            <w:lang w:val="pt-PT"/>
          </w:rPr>
          <w:t>7</w:t>
        </w:r>
        <w:r w:rsidR="00B666F3" w:rsidRPr="00693CDB">
          <w:rPr>
            <w:webHidden/>
          </w:rPr>
          <w:fldChar w:fldCharType="end"/>
        </w:r>
      </w:hyperlink>
    </w:p>
    <w:p w14:paraId="7AD42A9C" w14:textId="03FBEA83" w:rsidR="007A392C" w:rsidRPr="00693CDB" w:rsidRDefault="00693CDB">
      <w:pPr>
        <w:pStyle w:val="TOC3"/>
        <w:tabs>
          <w:tab w:val="left" w:pos="1916"/>
        </w:tabs>
        <w:rPr>
          <w:szCs w:val="24"/>
          <w:lang w:val="pt-PT"/>
        </w:rPr>
      </w:pPr>
      <w:hyperlink w:anchor="_Toc446535866" w:history="1">
        <w:r w:rsidR="00B666F3" w:rsidRPr="00693CDB">
          <w:rPr>
            <w:rStyle w:val="Hyperlink"/>
            <w:color w:val="auto"/>
            <w:lang w:val="pt-PT"/>
          </w:rPr>
          <w:t>II.3.1</w:t>
        </w:r>
        <w:r w:rsidR="00B666F3" w:rsidRPr="00693CDB">
          <w:rPr>
            <w:lang w:val="pt-PT"/>
          </w:rPr>
          <w:tab/>
        </w:r>
        <w:r w:rsidR="00B666F3" w:rsidRPr="00693CDB">
          <w:rPr>
            <w:rStyle w:val="Hyperlink"/>
            <w:color w:val="auto"/>
            <w:lang w:val="pt-PT"/>
          </w:rPr>
          <w:t>Forma e meios de comunicação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_Toc446535866 \h </w:instrText>
        </w:r>
        <w:r w:rsidR="00B666F3" w:rsidRPr="00693CDB">
          <w:rPr>
            <w:webHidden/>
          </w:rPr>
        </w:r>
        <w:r w:rsidR="00B666F3" w:rsidRPr="00693CDB">
          <w:rPr>
            <w:webHidden/>
          </w:rPr>
          <w:fldChar w:fldCharType="separate"/>
        </w:r>
        <w:r w:rsidR="00B666F3" w:rsidRPr="00693CDB">
          <w:rPr>
            <w:webHidden/>
            <w:lang w:val="pt-PT"/>
          </w:rPr>
          <w:t>7</w:t>
        </w:r>
        <w:r w:rsidR="00B666F3" w:rsidRPr="00693CDB">
          <w:rPr>
            <w:webHidden/>
          </w:rPr>
          <w:fldChar w:fldCharType="end"/>
        </w:r>
      </w:hyperlink>
    </w:p>
    <w:p w14:paraId="38739AEF" w14:textId="72604441" w:rsidR="007A392C" w:rsidRPr="00693CDB" w:rsidRDefault="00693CDB">
      <w:pPr>
        <w:pStyle w:val="TOC3"/>
        <w:tabs>
          <w:tab w:val="left" w:pos="1916"/>
        </w:tabs>
        <w:rPr>
          <w:szCs w:val="24"/>
          <w:lang w:val="pt-PT"/>
        </w:rPr>
      </w:pPr>
      <w:hyperlink w:anchor="_Toc446535867" w:history="1">
        <w:r w:rsidR="00B666F3" w:rsidRPr="00693CDB">
          <w:rPr>
            <w:rStyle w:val="Hyperlink"/>
            <w:color w:val="auto"/>
            <w:lang w:val="pt-PT"/>
          </w:rPr>
          <w:t>II.3.2</w:t>
        </w:r>
        <w:r w:rsidR="00B666F3" w:rsidRPr="00693CDB">
          <w:rPr>
            <w:lang w:val="pt-PT"/>
          </w:rPr>
          <w:tab/>
        </w:r>
        <w:r w:rsidR="00B666F3" w:rsidRPr="00693CDB">
          <w:rPr>
            <w:rStyle w:val="Hyperlink"/>
            <w:color w:val="auto"/>
            <w:lang w:val="pt-PT"/>
          </w:rPr>
          <w:t>Data das comunicações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_Toc446535867 \h </w:instrText>
        </w:r>
        <w:r w:rsidR="00B666F3" w:rsidRPr="00693CDB">
          <w:rPr>
            <w:webHidden/>
          </w:rPr>
        </w:r>
        <w:r w:rsidR="00B666F3" w:rsidRPr="00693CDB">
          <w:rPr>
            <w:webHidden/>
          </w:rPr>
          <w:fldChar w:fldCharType="separate"/>
        </w:r>
        <w:r w:rsidR="00B666F3" w:rsidRPr="00693CDB">
          <w:rPr>
            <w:webHidden/>
            <w:lang w:val="pt-PT"/>
          </w:rPr>
          <w:t>7</w:t>
        </w:r>
        <w:r w:rsidR="00B666F3" w:rsidRPr="00693CDB">
          <w:rPr>
            <w:webHidden/>
          </w:rPr>
          <w:fldChar w:fldCharType="end"/>
        </w:r>
      </w:hyperlink>
    </w:p>
    <w:p w14:paraId="460B8AD5" w14:textId="7227794E" w:rsidR="007A392C" w:rsidRPr="00693CDB" w:rsidRDefault="00693CDB">
      <w:pPr>
        <w:pStyle w:val="TOC2"/>
        <w:rPr>
          <w:szCs w:val="24"/>
          <w:lang w:val="pt-PT"/>
        </w:rPr>
      </w:pPr>
      <w:hyperlink w:anchor="_Toc446535870" w:history="1">
        <w:r w:rsidR="00B666F3" w:rsidRPr="00693CDB">
          <w:rPr>
            <w:rStyle w:val="Hyperlink"/>
            <w:color w:val="auto"/>
            <w:lang w:val="pt-PT"/>
          </w:rPr>
          <w:t>Artigo II.4 — Responsabilidade por perdas e danos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_Toc446535870 \h </w:instrText>
        </w:r>
        <w:r w:rsidR="00B666F3" w:rsidRPr="00693CDB">
          <w:rPr>
            <w:webHidden/>
          </w:rPr>
        </w:r>
        <w:r w:rsidR="00B666F3" w:rsidRPr="00693CDB">
          <w:rPr>
            <w:webHidden/>
          </w:rPr>
          <w:fldChar w:fldCharType="separate"/>
        </w:r>
        <w:r w:rsidR="00B666F3" w:rsidRPr="00693CDB">
          <w:rPr>
            <w:webHidden/>
            <w:lang w:val="pt-PT"/>
          </w:rPr>
          <w:t>8</w:t>
        </w:r>
        <w:r w:rsidR="00B666F3" w:rsidRPr="00693CDB">
          <w:rPr>
            <w:webHidden/>
          </w:rPr>
          <w:fldChar w:fldCharType="end"/>
        </w:r>
      </w:hyperlink>
    </w:p>
    <w:p w14:paraId="43D9D636" w14:textId="6F65A3BD" w:rsidR="007A392C" w:rsidRPr="00693CDB" w:rsidRDefault="00693CDB">
      <w:pPr>
        <w:pStyle w:val="TOC2"/>
        <w:rPr>
          <w:szCs w:val="24"/>
          <w:lang w:val="pt-PT"/>
        </w:rPr>
      </w:pPr>
      <w:hyperlink w:anchor="_Toc446535871" w:history="1">
        <w:r w:rsidR="00B666F3" w:rsidRPr="00693CDB">
          <w:rPr>
            <w:rStyle w:val="Hyperlink"/>
            <w:color w:val="auto"/>
            <w:lang w:val="pt-PT"/>
          </w:rPr>
          <w:t>Artigo II.5 — Conflito de interesses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_Toc446535871 \h </w:instrText>
        </w:r>
        <w:r w:rsidR="00B666F3" w:rsidRPr="00693CDB">
          <w:rPr>
            <w:webHidden/>
          </w:rPr>
        </w:r>
        <w:r w:rsidR="00B666F3" w:rsidRPr="00693CDB">
          <w:rPr>
            <w:webHidden/>
          </w:rPr>
          <w:fldChar w:fldCharType="separate"/>
        </w:r>
        <w:r w:rsidR="00B666F3" w:rsidRPr="00693CDB">
          <w:rPr>
            <w:webHidden/>
            <w:lang w:val="pt-PT"/>
          </w:rPr>
          <w:t>8</w:t>
        </w:r>
        <w:r w:rsidR="00B666F3" w:rsidRPr="00693CDB">
          <w:rPr>
            <w:webHidden/>
          </w:rPr>
          <w:fldChar w:fldCharType="end"/>
        </w:r>
      </w:hyperlink>
    </w:p>
    <w:p w14:paraId="16FB9E60" w14:textId="294773FC" w:rsidR="007A392C" w:rsidRPr="00693CDB" w:rsidRDefault="00693CDB">
      <w:pPr>
        <w:pStyle w:val="TOC2"/>
        <w:rPr>
          <w:szCs w:val="24"/>
          <w:lang w:val="pt-PT"/>
        </w:rPr>
      </w:pPr>
      <w:hyperlink w:anchor="_Toc446535872" w:history="1">
        <w:r w:rsidR="00B666F3" w:rsidRPr="00693CDB">
          <w:rPr>
            <w:rStyle w:val="Hyperlink"/>
            <w:color w:val="auto"/>
            <w:lang w:val="pt-PT"/>
          </w:rPr>
          <w:t>Artigo II.6 — Confidencialidade</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_Toc446535872 \h </w:instrText>
        </w:r>
        <w:r w:rsidR="00B666F3" w:rsidRPr="00693CDB">
          <w:rPr>
            <w:webHidden/>
          </w:rPr>
        </w:r>
        <w:r w:rsidR="00B666F3" w:rsidRPr="00693CDB">
          <w:rPr>
            <w:webHidden/>
          </w:rPr>
          <w:fldChar w:fldCharType="separate"/>
        </w:r>
        <w:r w:rsidR="00B666F3" w:rsidRPr="00693CDB">
          <w:rPr>
            <w:webHidden/>
            <w:lang w:val="pt-PT"/>
          </w:rPr>
          <w:t>8</w:t>
        </w:r>
        <w:r w:rsidR="00B666F3" w:rsidRPr="00693CDB">
          <w:rPr>
            <w:webHidden/>
          </w:rPr>
          <w:fldChar w:fldCharType="end"/>
        </w:r>
      </w:hyperlink>
    </w:p>
    <w:p w14:paraId="4DF78AA9" w14:textId="35395ACC" w:rsidR="007A392C" w:rsidRPr="00693CDB" w:rsidRDefault="00693CDB">
      <w:pPr>
        <w:pStyle w:val="TOC2"/>
        <w:rPr>
          <w:szCs w:val="24"/>
          <w:lang w:val="pt-PT"/>
        </w:rPr>
      </w:pPr>
      <w:hyperlink w:anchor="_Toc446535873" w:history="1">
        <w:r w:rsidR="00B666F3" w:rsidRPr="00693CDB">
          <w:rPr>
            <w:rStyle w:val="Hyperlink"/>
            <w:color w:val="auto"/>
            <w:lang w:val="pt-PT"/>
          </w:rPr>
          <w:t>Artigo II.7 — Tratamento de dados pessoais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_Toc446535873 \h </w:instrText>
        </w:r>
        <w:r w:rsidR="00B666F3" w:rsidRPr="00693CDB">
          <w:rPr>
            <w:webHidden/>
          </w:rPr>
        </w:r>
        <w:r w:rsidR="00B666F3" w:rsidRPr="00693CDB">
          <w:rPr>
            <w:webHidden/>
          </w:rPr>
          <w:fldChar w:fldCharType="separate"/>
        </w:r>
        <w:r w:rsidR="00B666F3" w:rsidRPr="00693CDB">
          <w:rPr>
            <w:webHidden/>
            <w:lang w:val="pt-PT"/>
          </w:rPr>
          <w:t>8</w:t>
        </w:r>
        <w:r w:rsidR="00B666F3" w:rsidRPr="00693CDB">
          <w:rPr>
            <w:webHidden/>
          </w:rPr>
          <w:fldChar w:fldCharType="end"/>
        </w:r>
      </w:hyperlink>
    </w:p>
    <w:p w14:paraId="2C8F61AB" w14:textId="745D0C30" w:rsidR="007A392C" w:rsidRPr="00693CDB" w:rsidRDefault="00693CDB">
      <w:pPr>
        <w:pStyle w:val="TOC3"/>
        <w:tabs>
          <w:tab w:val="left" w:pos="1916"/>
        </w:tabs>
        <w:rPr>
          <w:szCs w:val="24"/>
          <w:lang w:val="pt-PT"/>
        </w:rPr>
      </w:pPr>
      <w:hyperlink w:anchor="_Toc446535874" w:history="1">
        <w:r w:rsidR="00B666F3" w:rsidRPr="00693CDB">
          <w:rPr>
            <w:rStyle w:val="Hyperlink"/>
            <w:color w:val="auto"/>
            <w:lang w:val="pt-PT"/>
          </w:rPr>
          <w:t>II.7.1</w:t>
        </w:r>
        <w:r w:rsidR="00B666F3" w:rsidRPr="00693CDB">
          <w:rPr>
            <w:lang w:val="pt-PT"/>
          </w:rPr>
          <w:tab/>
        </w:r>
        <w:r w:rsidR="00B666F3" w:rsidRPr="00693CDB">
          <w:rPr>
            <w:rStyle w:val="Hyperlink"/>
            <w:color w:val="auto"/>
            <w:lang w:val="pt-PT"/>
          </w:rPr>
          <w:t>Tratamento de dados pessoais pela Comissão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_Toc446535874 \h </w:instrText>
        </w:r>
        <w:r w:rsidR="00B666F3" w:rsidRPr="00693CDB">
          <w:rPr>
            <w:webHidden/>
          </w:rPr>
        </w:r>
        <w:r w:rsidR="00B666F3" w:rsidRPr="00693CDB">
          <w:rPr>
            <w:webHidden/>
          </w:rPr>
          <w:fldChar w:fldCharType="separate"/>
        </w:r>
        <w:r w:rsidR="00B666F3" w:rsidRPr="00693CDB">
          <w:rPr>
            <w:webHidden/>
            <w:lang w:val="pt-PT"/>
          </w:rPr>
          <w:t>8</w:t>
        </w:r>
        <w:r w:rsidR="00B666F3" w:rsidRPr="00693CDB">
          <w:rPr>
            <w:webHidden/>
          </w:rPr>
          <w:fldChar w:fldCharType="end"/>
        </w:r>
      </w:hyperlink>
    </w:p>
    <w:p w14:paraId="13A2A2A8" w14:textId="30A9839A" w:rsidR="007A392C" w:rsidRPr="00693CDB" w:rsidRDefault="00693CDB">
      <w:pPr>
        <w:pStyle w:val="TOC3"/>
        <w:tabs>
          <w:tab w:val="left" w:pos="1916"/>
        </w:tabs>
        <w:rPr>
          <w:szCs w:val="24"/>
          <w:lang w:val="pt-PT"/>
        </w:rPr>
      </w:pPr>
      <w:hyperlink w:anchor="_Toc446535875" w:history="1">
        <w:r w:rsidR="00B666F3" w:rsidRPr="00693CDB">
          <w:rPr>
            <w:rStyle w:val="Hyperlink"/>
            <w:color w:val="auto"/>
            <w:lang w:val="pt-PT"/>
          </w:rPr>
          <w:t>II.7.2</w:t>
        </w:r>
        <w:r w:rsidR="00B666F3" w:rsidRPr="00693CDB">
          <w:rPr>
            <w:lang w:val="pt-PT"/>
          </w:rPr>
          <w:tab/>
        </w:r>
        <w:r w:rsidR="00B666F3" w:rsidRPr="00693CDB">
          <w:rPr>
            <w:rStyle w:val="Hyperlink"/>
            <w:color w:val="auto"/>
            <w:lang w:val="pt-PT"/>
          </w:rPr>
          <w:t>Tratamento de dados pessoais pelo beneficiário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_Toc446535875 \h </w:instrText>
        </w:r>
        <w:r w:rsidR="00B666F3" w:rsidRPr="00693CDB">
          <w:rPr>
            <w:webHidden/>
          </w:rPr>
        </w:r>
        <w:r w:rsidR="00B666F3" w:rsidRPr="00693CDB">
          <w:rPr>
            <w:webHidden/>
          </w:rPr>
          <w:fldChar w:fldCharType="separate"/>
        </w:r>
        <w:r w:rsidR="00B666F3" w:rsidRPr="00693CDB">
          <w:rPr>
            <w:webHidden/>
            <w:lang w:val="pt-PT"/>
          </w:rPr>
          <w:t>9</w:t>
        </w:r>
        <w:r w:rsidR="00B666F3" w:rsidRPr="00693CDB">
          <w:rPr>
            <w:webHidden/>
          </w:rPr>
          <w:fldChar w:fldCharType="end"/>
        </w:r>
      </w:hyperlink>
    </w:p>
    <w:p w14:paraId="6146D016" w14:textId="722A6FA7" w:rsidR="007A392C" w:rsidRPr="00693CDB" w:rsidRDefault="00693CDB">
      <w:pPr>
        <w:pStyle w:val="TOC2"/>
        <w:rPr>
          <w:szCs w:val="24"/>
          <w:lang w:val="pt-PT"/>
        </w:rPr>
      </w:pPr>
      <w:hyperlink w:anchor="_Toc446535876" w:history="1">
        <w:r w:rsidR="00B666F3" w:rsidRPr="00693CDB">
          <w:rPr>
            <w:rStyle w:val="Hyperlink"/>
            <w:color w:val="auto"/>
            <w:lang w:val="pt-PT"/>
          </w:rPr>
          <w:t>Artigo II.8 — Visibilidade do financiamento da união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_Toc446535876 \h </w:instrText>
        </w:r>
        <w:r w:rsidR="00B666F3" w:rsidRPr="00693CDB">
          <w:rPr>
            <w:webHidden/>
          </w:rPr>
        </w:r>
        <w:r w:rsidR="00B666F3" w:rsidRPr="00693CDB">
          <w:rPr>
            <w:webHidden/>
          </w:rPr>
          <w:fldChar w:fldCharType="separate"/>
        </w:r>
        <w:r w:rsidR="00B666F3" w:rsidRPr="00693CDB">
          <w:rPr>
            <w:webHidden/>
            <w:lang w:val="pt-PT"/>
          </w:rPr>
          <w:t>10</w:t>
        </w:r>
        <w:r w:rsidR="00B666F3" w:rsidRPr="00693CDB">
          <w:rPr>
            <w:webHidden/>
          </w:rPr>
          <w:fldChar w:fldCharType="end"/>
        </w:r>
      </w:hyperlink>
    </w:p>
    <w:p w14:paraId="74A9B9A6" w14:textId="610A4929" w:rsidR="007A392C" w:rsidRPr="00693CDB" w:rsidRDefault="00693CDB">
      <w:pPr>
        <w:pStyle w:val="TOC3"/>
        <w:tabs>
          <w:tab w:val="left" w:pos="1916"/>
        </w:tabs>
        <w:rPr>
          <w:szCs w:val="24"/>
          <w:lang w:val="pt-PT"/>
        </w:rPr>
      </w:pPr>
      <w:hyperlink w:anchor="_Toc446535877" w:history="1">
        <w:r w:rsidR="00B666F3" w:rsidRPr="00693CDB">
          <w:rPr>
            <w:rStyle w:val="Hyperlink"/>
            <w:color w:val="auto"/>
            <w:lang w:val="pt-PT"/>
          </w:rPr>
          <w:t>II.8.1</w:t>
        </w:r>
        <w:r w:rsidR="00B666F3" w:rsidRPr="00693CDB">
          <w:rPr>
            <w:lang w:val="pt-PT"/>
          </w:rPr>
          <w:tab/>
        </w:r>
        <w:r w:rsidR="00B666F3" w:rsidRPr="00693CDB">
          <w:rPr>
            <w:rStyle w:val="Hyperlink"/>
            <w:color w:val="auto"/>
            <w:lang w:val="pt-PT"/>
          </w:rPr>
          <w:t>Informações sobre o financiamento da União e a utilização do símbolo da União Europeia</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_Toc446535877 \h </w:instrText>
        </w:r>
        <w:r w:rsidR="00B666F3" w:rsidRPr="00693CDB">
          <w:rPr>
            <w:webHidden/>
          </w:rPr>
        </w:r>
        <w:r w:rsidR="00B666F3" w:rsidRPr="00693CDB">
          <w:rPr>
            <w:webHidden/>
          </w:rPr>
          <w:fldChar w:fldCharType="separate"/>
        </w:r>
        <w:r w:rsidR="00B666F3" w:rsidRPr="00693CDB">
          <w:rPr>
            <w:webHidden/>
            <w:lang w:val="pt-PT"/>
          </w:rPr>
          <w:t>10</w:t>
        </w:r>
        <w:r w:rsidR="00B666F3" w:rsidRPr="00693CDB">
          <w:rPr>
            <w:webHidden/>
          </w:rPr>
          <w:fldChar w:fldCharType="end"/>
        </w:r>
      </w:hyperlink>
    </w:p>
    <w:p w14:paraId="2E441775" w14:textId="62A58E85" w:rsidR="007A392C" w:rsidRPr="00693CDB" w:rsidRDefault="00693CDB">
      <w:pPr>
        <w:pStyle w:val="TOC3"/>
        <w:tabs>
          <w:tab w:val="left" w:pos="1916"/>
        </w:tabs>
        <w:rPr>
          <w:szCs w:val="24"/>
          <w:lang w:val="pt-PT"/>
        </w:rPr>
      </w:pPr>
      <w:hyperlink w:anchor="_Toc446535878" w:history="1">
        <w:r w:rsidR="00B666F3" w:rsidRPr="00693CDB">
          <w:rPr>
            <w:rStyle w:val="Hyperlink"/>
            <w:color w:val="auto"/>
            <w:lang w:val="pt-PT"/>
          </w:rPr>
          <w:t>II.8.2</w:t>
        </w:r>
        <w:r w:rsidR="00B666F3" w:rsidRPr="00693CDB">
          <w:rPr>
            <w:lang w:val="pt-PT"/>
          </w:rPr>
          <w:tab/>
        </w:r>
        <w:r w:rsidR="00B666F3" w:rsidRPr="00693CDB">
          <w:rPr>
            <w:rStyle w:val="Hyperlink"/>
            <w:color w:val="auto"/>
            <w:lang w:val="pt-PT"/>
          </w:rPr>
          <w:t>Declarações de exoneração de responsabilidade da Comissão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_Toc446535878 \h </w:instrText>
        </w:r>
        <w:r w:rsidR="00B666F3" w:rsidRPr="00693CDB">
          <w:rPr>
            <w:webHidden/>
          </w:rPr>
        </w:r>
        <w:r w:rsidR="00B666F3" w:rsidRPr="00693CDB">
          <w:rPr>
            <w:webHidden/>
          </w:rPr>
          <w:fldChar w:fldCharType="separate"/>
        </w:r>
        <w:r w:rsidR="00B666F3" w:rsidRPr="00693CDB">
          <w:rPr>
            <w:webHidden/>
            <w:lang w:val="pt-PT"/>
          </w:rPr>
          <w:t>10</w:t>
        </w:r>
        <w:r w:rsidR="00B666F3" w:rsidRPr="00693CDB">
          <w:rPr>
            <w:webHidden/>
          </w:rPr>
          <w:fldChar w:fldCharType="end"/>
        </w:r>
      </w:hyperlink>
    </w:p>
    <w:p w14:paraId="0544AA9D" w14:textId="0459825A" w:rsidR="007A392C" w:rsidRPr="00693CDB" w:rsidRDefault="00693CDB">
      <w:pPr>
        <w:pStyle w:val="TOC2"/>
        <w:rPr>
          <w:szCs w:val="24"/>
          <w:lang w:val="pt-PT"/>
        </w:rPr>
      </w:pPr>
      <w:hyperlink w:anchor="_Toc446535879" w:history="1">
        <w:r w:rsidR="00B666F3" w:rsidRPr="00693CDB">
          <w:rPr>
            <w:rStyle w:val="Hyperlink"/>
            <w:color w:val="auto"/>
            <w:lang w:val="pt-PT"/>
          </w:rPr>
          <w:t>Artigo II.9 — Direitos preexistentes, propriedade e utilização dos resultados (incluindo direitos de propriedade intelectual e industrial)</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_Toc446535879 \h </w:instrText>
        </w:r>
        <w:r w:rsidR="00B666F3" w:rsidRPr="00693CDB">
          <w:rPr>
            <w:webHidden/>
          </w:rPr>
        </w:r>
        <w:r w:rsidR="00B666F3" w:rsidRPr="00693CDB">
          <w:rPr>
            <w:webHidden/>
          </w:rPr>
          <w:fldChar w:fldCharType="separate"/>
        </w:r>
        <w:r w:rsidR="00B666F3" w:rsidRPr="00693CDB">
          <w:rPr>
            <w:webHidden/>
            <w:lang w:val="pt-PT"/>
          </w:rPr>
          <w:t>11</w:t>
        </w:r>
        <w:r w:rsidR="00B666F3" w:rsidRPr="00693CDB">
          <w:rPr>
            <w:webHidden/>
          </w:rPr>
          <w:fldChar w:fldCharType="end"/>
        </w:r>
      </w:hyperlink>
    </w:p>
    <w:p w14:paraId="36520AF9" w14:textId="78EA57BC" w:rsidR="007A392C" w:rsidRPr="00693CDB" w:rsidRDefault="00693CDB">
      <w:pPr>
        <w:pStyle w:val="TOC3"/>
        <w:tabs>
          <w:tab w:val="left" w:pos="1916"/>
        </w:tabs>
        <w:rPr>
          <w:szCs w:val="24"/>
          <w:lang w:val="pt-PT"/>
        </w:rPr>
      </w:pPr>
      <w:hyperlink w:anchor="_Toc446535880" w:history="1">
        <w:r w:rsidR="00B666F3" w:rsidRPr="00693CDB">
          <w:rPr>
            <w:rStyle w:val="Hyperlink"/>
            <w:color w:val="auto"/>
            <w:lang w:val="pt-PT"/>
          </w:rPr>
          <w:t>II.9.1</w:t>
        </w:r>
        <w:r w:rsidR="00B666F3" w:rsidRPr="00693CDB">
          <w:rPr>
            <w:lang w:val="pt-PT"/>
          </w:rPr>
          <w:tab/>
        </w:r>
        <w:r w:rsidR="00B666F3" w:rsidRPr="00693CDB">
          <w:rPr>
            <w:rStyle w:val="Hyperlink"/>
            <w:color w:val="auto"/>
            <w:lang w:val="pt-PT"/>
          </w:rPr>
          <w:t>Propriedade dos resultados pelo beneficiário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_Toc446535880 \h </w:instrText>
        </w:r>
        <w:r w:rsidR="00B666F3" w:rsidRPr="00693CDB">
          <w:rPr>
            <w:webHidden/>
          </w:rPr>
        </w:r>
        <w:r w:rsidR="00B666F3" w:rsidRPr="00693CDB">
          <w:rPr>
            <w:webHidden/>
          </w:rPr>
          <w:fldChar w:fldCharType="separate"/>
        </w:r>
        <w:r w:rsidR="00B666F3" w:rsidRPr="00693CDB">
          <w:rPr>
            <w:webHidden/>
            <w:lang w:val="pt-PT"/>
          </w:rPr>
          <w:t>11</w:t>
        </w:r>
        <w:r w:rsidR="00B666F3" w:rsidRPr="00693CDB">
          <w:rPr>
            <w:webHidden/>
          </w:rPr>
          <w:fldChar w:fldCharType="end"/>
        </w:r>
      </w:hyperlink>
    </w:p>
    <w:p w14:paraId="047BC64E" w14:textId="5134CB78" w:rsidR="007A392C" w:rsidRPr="00693CDB" w:rsidRDefault="00693CDB">
      <w:pPr>
        <w:pStyle w:val="TOC3"/>
        <w:tabs>
          <w:tab w:val="left" w:pos="1916"/>
        </w:tabs>
        <w:rPr>
          <w:szCs w:val="24"/>
          <w:lang w:val="pt-PT"/>
        </w:rPr>
      </w:pPr>
      <w:hyperlink w:anchor="_Toc446535881" w:history="1">
        <w:r w:rsidR="00B666F3" w:rsidRPr="00693CDB">
          <w:rPr>
            <w:rStyle w:val="Hyperlink"/>
            <w:color w:val="auto"/>
            <w:lang w:val="pt-PT"/>
          </w:rPr>
          <w:t>II.9.2</w:t>
        </w:r>
        <w:r w:rsidR="00B666F3" w:rsidRPr="00693CDB">
          <w:rPr>
            <w:lang w:val="pt-PT"/>
          </w:rPr>
          <w:tab/>
        </w:r>
        <w:r w:rsidR="00B666F3" w:rsidRPr="00693CDB">
          <w:rPr>
            <w:rStyle w:val="Hyperlink"/>
            <w:color w:val="auto"/>
            <w:lang w:val="pt-PT"/>
          </w:rPr>
          <w:t>Direitos preexistentes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_Toc446535881 \h </w:instrText>
        </w:r>
        <w:r w:rsidR="00B666F3" w:rsidRPr="00693CDB">
          <w:rPr>
            <w:webHidden/>
          </w:rPr>
        </w:r>
        <w:r w:rsidR="00B666F3" w:rsidRPr="00693CDB">
          <w:rPr>
            <w:webHidden/>
          </w:rPr>
          <w:fldChar w:fldCharType="separate"/>
        </w:r>
        <w:r w:rsidR="00B666F3" w:rsidRPr="00693CDB">
          <w:rPr>
            <w:webHidden/>
            <w:lang w:val="pt-PT"/>
          </w:rPr>
          <w:t>11</w:t>
        </w:r>
        <w:r w:rsidR="00B666F3" w:rsidRPr="00693CDB">
          <w:rPr>
            <w:webHidden/>
          </w:rPr>
          <w:fldChar w:fldCharType="end"/>
        </w:r>
      </w:hyperlink>
    </w:p>
    <w:p w14:paraId="1B735BA1" w14:textId="716EA451" w:rsidR="007A392C" w:rsidRPr="00693CDB" w:rsidRDefault="00693CDB">
      <w:pPr>
        <w:pStyle w:val="TOC3"/>
        <w:tabs>
          <w:tab w:val="left" w:pos="1916"/>
        </w:tabs>
        <w:rPr>
          <w:szCs w:val="24"/>
          <w:lang w:val="pt-PT"/>
        </w:rPr>
      </w:pPr>
      <w:hyperlink w:anchor="_Toc446535882" w:history="1">
        <w:r w:rsidR="00B666F3" w:rsidRPr="00693CDB">
          <w:rPr>
            <w:rStyle w:val="Hyperlink"/>
            <w:color w:val="auto"/>
            <w:lang w:val="pt-PT"/>
          </w:rPr>
          <w:t>II.9.3</w:t>
        </w:r>
        <w:r w:rsidR="00B666F3" w:rsidRPr="00693CDB">
          <w:rPr>
            <w:lang w:val="pt-PT"/>
          </w:rPr>
          <w:tab/>
        </w:r>
        <w:r w:rsidR="00B666F3" w:rsidRPr="00693CDB">
          <w:rPr>
            <w:rStyle w:val="Hyperlink"/>
            <w:color w:val="auto"/>
            <w:lang w:val="pt-PT"/>
          </w:rPr>
          <w:t>Direitos de utilização pela União dos resultados e dos direitos preexistentes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_Toc446535882 \h </w:instrText>
        </w:r>
        <w:r w:rsidR="00B666F3" w:rsidRPr="00693CDB">
          <w:rPr>
            <w:webHidden/>
          </w:rPr>
        </w:r>
        <w:r w:rsidR="00B666F3" w:rsidRPr="00693CDB">
          <w:rPr>
            <w:webHidden/>
          </w:rPr>
          <w:fldChar w:fldCharType="separate"/>
        </w:r>
        <w:r w:rsidR="00B666F3" w:rsidRPr="00693CDB">
          <w:rPr>
            <w:webHidden/>
            <w:lang w:val="pt-PT"/>
          </w:rPr>
          <w:t>11</w:t>
        </w:r>
        <w:r w:rsidR="00B666F3" w:rsidRPr="00693CDB">
          <w:rPr>
            <w:webHidden/>
          </w:rPr>
          <w:fldChar w:fldCharType="end"/>
        </w:r>
      </w:hyperlink>
    </w:p>
    <w:p w14:paraId="338EF94B" w14:textId="3CA29C94" w:rsidR="007A392C" w:rsidRPr="00693CDB" w:rsidRDefault="00693CDB">
      <w:pPr>
        <w:pStyle w:val="TOC2"/>
        <w:rPr>
          <w:szCs w:val="24"/>
          <w:lang w:val="pt-PT"/>
        </w:rPr>
      </w:pPr>
      <w:hyperlink w:anchor="_Toc446535883" w:history="1">
        <w:r w:rsidR="00B666F3" w:rsidRPr="00693CDB">
          <w:rPr>
            <w:rStyle w:val="Hyperlink"/>
            <w:color w:val="auto"/>
            <w:lang w:val="pt-PT"/>
          </w:rPr>
          <w:t>Artigo II.10 — Adjudicação dos contratos necessários para execução da ação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_Toc446535883 \h </w:instrText>
        </w:r>
        <w:r w:rsidR="00B666F3" w:rsidRPr="00693CDB">
          <w:rPr>
            <w:webHidden/>
          </w:rPr>
        </w:r>
        <w:r w:rsidR="00B666F3" w:rsidRPr="00693CDB">
          <w:rPr>
            <w:webHidden/>
          </w:rPr>
          <w:fldChar w:fldCharType="separate"/>
        </w:r>
        <w:r w:rsidR="00B666F3" w:rsidRPr="00693CDB">
          <w:rPr>
            <w:webHidden/>
            <w:lang w:val="pt-PT"/>
          </w:rPr>
          <w:t>12</w:t>
        </w:r>
        <w:r w:rsidR="00B666F3" w:rsidRPr="00693CDB">
          <w:rPr>
            <w:webHidden/>
          </w:rPr>
          <w:fldChar w:fldCharType="end"/>
        </w:r>
      </w:hyperlink>
    </w:p>
    <w:p w14:paraId="0EFE88DE" w14:textId="455DBBFF" w:rsidR="007A392C" w:rsidRPr="00693CDB" w:rsidRDefault="00693CDB">
      <w:pPr>
        <w:pStyle w:val="TOC2"/>
        <w:rPr>
          <w:szCs w:val="24"/>
          <w:lang w:val="pt-PT"/>
        </w:rPr>
      </w:pPr>
      <w:hyperlink w:anchor="_Toc446535884" w:history="1">
        <w:r w:rsidR="00B666F3" w:rsidRPr="00693CDB">
          <w:rPr>
            <w:rStyle w:val="Hyperlink"/>
            <w:color w:val="auto"/>
            <w:lang w:val="pt-PT"/>
          </w:rPr>
          <w:t>Artigo II.11 — Subcontratação de tarefas que fazem parte da ação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_Toc446535884 \h </w:instrText>
        </w:r>
        <w:r w:rsidR="00B666F3" w:rsidRPr="00693CDB">
          <w:rPr>
            <w:webHidden/>
          </w:rPr>
        </w:r>
        <w:r w:rsidR="00B666F3" w:rsidRPr="00693CDB">
          <w:rPr>
            <w:webHidden/>
          </w:rPr>
          <w:fldChar w:fldCharType="separate"/>
        </w:r>
        <w:r w:rsidR="00B666F3" w:rsidRPr="00693CDB">
          <w:rPr>
            <w:webHidden/>
            <w:lang w:val="pt-PT"/>
          </w:rPr>
          <w:t>13</w:t>
        </w:r>
        <w:r w:rsidR="00B666F3" w:rsidRPr="00693CDB">
          <w:rPr>
            <w:webHidden/>
          </w:rPr>
          <w:fldChar w:fldCharType="end"/>
        </w:r>
      </w:hyperlink>
    </w:p>
    <w:p w14:paraId="55D55F39" w14:textId="3802047F" w:rsidR="007A392C" w:rsidRPr="00693CDB" w:rsidRDefault="00693CDB">
      <w:pPr>
        <w:pStyle w:val="TOC2"/>
        <w:rPr>
          <w:szCs w:val="24"/>
          <w:lang w:val="pt-PT"/>
        </w:rPr>
      </w:pPr>
      <w:hyperlink w:anchor="_Toc446535885" w:history="1">
        <w:r w:rsidR="00B666F3" w:rsidRPr="00693CDB">
          <w:rPr>
            <w:rStyle w:val="Hyperlink"/>
            <w:color w:val="auto"/>
            <w:lang w:val="pt-PT"/>
          </w:rPr>
          <w:t>Artigo II.12 — Apoio financeiro a terceiros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_Toc446535885 \h </w:instrText>
        </w:r>
        <w:r w:rsidR="00B666F3" w:rsidRPr="00693CDB">
          <w:rPr>
            <w:webHidden/>
          </w:rPr>
        </w:r>
        <w:r w:rsidR="00B666F3" w:rsidRPr="00693CDB">
          <w:rPr>
            <w:webHidden/>
          </w:rPr>
          <w:fldChar w:fldCharType="separate"/>
        </w:r>
        <w:r w:rsidR="00B666F3" w:rsidRPr="00693CDB">
          <w:rPr>
            <w:webHidden/>
            <w:lang w:val="pt-PT"/>
          </w:rPr>
          <w:t>14</w:t>
        </w:r>
        <w:r w:rsidR="00B666F3" w:rsidRPr="00693CDB">
          <w:rPr>
            <w:webHidden/>
          </w:rPr>
          <w:fldChar w:fldCharType="end"/>
        </w:r>
      </w:hyperlink>
    </w:p>
    <w:p w14:paraId="75B2FED9" w14:textId="40735454" w:rsidR="007A392C" w:rsidRPr="00693CDB" w:rsidRDefault="00693CDB">
      <w:pPr>
        <w:pStyle w:val="TOC2"/>
        <w:rPr>
          <w:szCs w:val="24"/>
          <w:lang w:val="pt-PT"/>
        </w:rPr>
      </w:pPr>
      <w:hyperlink w:anchor="_Toc446535886" w:history="1">
        <w:r w:rsidR="00B666F3" w:rsidRPr="00693CDB">
          <w:rPr>
            <w:rStyle w:val="Hyperlink"/>
            <w:color w:val="auto"/>
            <w:lang w:val="pt-PT"/>
          </w:rPr>
          <w:t>Artigo II.13 — Alterações à convenção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_Toc446535886 \h </w:instrText>
        </w:r>
        <w:r w:rsidR="00B666F3" w:rsidRPr="00693CDB">
          <w:rPr>
            <w:webHidden/>
          </w:rPr>
        </w:r>
        <w:r w:rsidR="00B666F3" w:rsidRPr="00693CDB">
          <w:rPr>
            <w:webHidden/>
          </w:rPr>
          <w:fldChar w:fldCharType="separate"/>
        </w:r>
        <w:r w:rsidR="00B666F3" w:rsidRPr="00693CDB">
          <w:rPr>
            <w:webHidden/>
            <w:lang w:val="pt-PT"/>
          </w:rPr>
          <w:t>14</w:t>
        </w:r>
        <w:r w:rsidR="00B666F3" w:rsidRPr="00693CDB">
          <w:rPr>
            <w:webHidden/>
          </w:rPr>
          <w:fldChar w:fldCharType="end"/>
        </w:r>
      </w:hyperlink>
    </w:p>
    <w:p w14:paraId="6EE7AF4F" w14:textId="2376EC57" w:rsidR="007A392C" w:rsidRPr="00693CDB" w:rsidRDefault="00693CDB">
      <w:pPr>
        <w:pStyle w:val="TOC2"/>
        <w:rPr>
          <w:szCs w:val="24"/>
          <w:lang w:val="pt-PT"/>
        </w:rPr>
      </w:pPr>
      <w:hyperlink w:anchor="_Toc446535887" w:history="1">
        <w:r w:rsidR="00B666F3" w:rsidRPr="00693CDB">
          <w:rPr>
            <w:rStyle w:val="Hyperlink"/>
            <w:color w:val="auto"/>
            <w:lang w:val="pt-PT"/>
          </w:rPr>
          <w:t>Artigo II.14 — Cessão de créditos para pagamentos a terceiros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_Toc446535887 \h </w:instrText>
        </w:r>
        <w:r w:rsidR="00B666F3" w:rsidRPr="00693CDB">
          <w:rPr>
            <w:webHidden/>
          </w:rPr>
        </w:r>
        <w:r w:rsidR="00B666F3" w:rsidRPr="00693CDB">
          <w:rPr>
            <w:webHidden/>
          </w:rPr>
          <w:fldChar w:fldCharType="separate"/>
        </w:r>
        <w:r w:rsidR="00B666F3" w:rsidRPr="00693CDB">
          <w:rPr>
            <w:webHidden/>
            <w:lang w:val="pt-PT"/>
          </w:rPr>
          <w:t>15</w:t>
        </w:r>
        <w:r w:rsidR="00B666F3" w:rsidRPr="00693CDB">
          <w:rPr>
            <w:webHidden/>
          </w:rPr>
          <w:fldChar w:fldCharType="end"/>
        </w:r>
      </w:hyperlink>
    </w:p>
    <w:p w14:paraId="493D59DE" w14:textId="24558692" w:rsidR="007A392C" w:rsidRPr="00693CDB" w:rsidRDefault="00693CDB">
      <w:pPr>
        <w:pStyle w:val="TOC2"/>
        <w:rPr>
          <w:szCs w:val="24"/>
          <w:lang w:val="pt-PT"/>
        </w:rPr>
      </w:pPr>
      <w:hyperlink w:anchor="_Toc446535888" w:history="1">
        <w:r w:rsidR="00B666F3" w:rsidRPr="00693CDB">
          <w:rPr>
            <w:rStyle w:val="Hyperlink"/>
            <w:color w:val="auto"/>
            <w:lang w:val="pt-PT"/>
          </w:rPr>
          <w:t>Artigo II.15 — Força maior</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_Toc446535888 \h </w:instrText>
        </w:r>
        <w:r w:rsidR="00B666F3" w:rsidRPr="00693CDB">
          <w:rPr>
            <w:webHidden/>
          </w:rPr>
        </w:r>
        <w:r w:rsidR="00B666F3" w:rsidRPr="00693CDB">
          <w:rPr>
            <w:webHidden/>
          </w:rPr>
          <w:fldChar w:fldCharType="separate"/>
        </w:r>
        <w:r w:rsidR="00B666F3" w:rsidRPr="00693CDB">
          <w:rPr>
            <w:webHidden/>
            <w:lang w:val="pt-PT"/>
          </w:rPr>
          <w:t>15</w:t>
        </w:r>
        <w:r w:rsidR="00B666F3" w:rsidRPr="00693CDB">
          <w:rPr>
            <w:webHidden/>
          </w:rPr>
          <w:fldChar w:fldCharType="end"/>
        </w:r>
      </w:hyperlink>
    </w:p>
    <w:p w14:paraId="51AD7057" w14:textId="00185507" w:rsidR="007A392C" w:rsidRPr="00693CDB" w:rsidRDefault="00693CDB">
      <w:pPr>
        <w:pStyle w:val="TOC2"/>
        <w:rPr>
          <w:szCs w:val="24"/>
          <w:lang w:val="pt-PT"/>
        </w:rPr>
      </w:pPr>
      <w:hyperlink w:anchor="_Toc446535889" w:history="1">
        <w:r w:rsidR="00B666F3" w:rsidRPr="00693CDB">
          <w:rPr>
            <w:rStyle w:val="Hyperlink"/>
            <w:color w:val="auto"/>
            <w:lang w:val="pt-PT"/>
          </w:rPr>
          <w:t>Artigo II.16 — Suspensão da execução da ação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_Toc446535889 \h </w:instrText>
        </w:r>
        <w:r w:rsidR="00B666F3" w:rsidRPr="00693CDB">
          <w:rPr>
            <w:webHidden/>
          </w:rPr>
        </w:r>
        <w:r w:rsidR="00B666F3" w:rsidRPr="00693CDB">
          <w:rPr>
            <w:webHidden/>
          </w:rPr>
          <w:fldChar w:fldCharType="separate"/>
        </w:r>
        <w:r w:rsidR="00B666F3" w:rsidRPr="00693CDB">
          <w:rPr>
            <w:webHidden/>
            <w:lang w:val="pt-PT"/>
          </w:rPr>
          <w:t>15</w:t>
        </w:r>
        <w:r w:rsidR="00B666F3" w:rsidRPr="00693CDB">
          <w:rPr>
            <w:webHidden/>
          </w:rPr>
          <w:fldChar w:fldCharType="end"/>
        </w:r>
      </w:hyperlink>
    </w:p>
    <w:p w14:paraId="05BB9984" w14:textId="408293AF" w:rsidR="007A392C" w:rsidRPr="00693CDB" w:rsidRDefault="00693CDB">
      <w:pPr>
        <w:pStyle w:val="TOC3"/>
        <w:tabs>
          <w:tab w:val="left" w:pos="2880"/>
        </w:tabs>
        <w:rPr>
          <w:szCs w:val="24"/>
          <w:lang w:val="pt-PT"/>
        </w:rPr>
      </w:pPr>
      <w:hyperlink w:anchor="_Toc446535890" w:history="1">
        <w:r w:rsidR="00B666F3" w:rsidRPr="00693CDB">
          <w:rPr>
            <w:rStyle w:val="Hyperlink"/>
            <w:color w:val="auto"/>
            <w:lang w:val="pt-PT"/>
          </w:rPr>
          <w:t>II.16.1</w:t>
        </w:r>
        <w:r w:rsidR="00B666F3" w:rsidRPr="00693CDB">
          <w:rPr>
            <w:lang w:val="pt-PT"/>
          </w:rPr>
          <w:tab/>
        </w:r>
        <w:r w:rsidR="00B666F3" w:rsidRPr="00693CDB">
          <w:rPr>
            <w:rStyle w:val="Hyperlink"/>
            <w:color w:val="auto"/>
            <w:lang w:val="pt-PT"/>
          </w:rPr>
          <w:t>Suspensão da execução pelo beneficiário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_Toc446535890 \h </w:instrText>
        </w:r>
        <w:r w:rsidR="00B666F3" w:rsidRPr="00693CDB">
          <w:rPr>
            <w:webHidden/>
          </w:rPr>
        </w:r>
        <w:r w:rsidR="00B666F3" w:rsidRPr="00693CDB">
          <w:rPr>
            <w:webHidden/>
          </w:rPr>
          <w:fldChar w:fldCharType="separate"/>
        </w:r>
        <w:r w:rsidR="00B666F3" w:rsidRPr="00693CDB">
          <w:rPr>
            <w:webHidden/>
            <w:lang w:val="pt-PT"/>
          </w:rPr>
          <w:t>15</w:t>
        </w:r>
        <w:r w:rsidR="00B666F3" w:rsidRPr="00693CDB">
          <w:rPr>
            <w:webHidden/>
          </w:rPr>
          <w:fldChar w:fldCharType="end"/>
        </w:r>
      </w:hyperlink>
    </w:p>
    <w:p w14:paraId="08FD239D" w14:textId="6C686582" w:rsidR="007A392C" w:rsidRPr="00693CDB" w:rsidRDefault="00693CDB">
      <w:pPr>
        <w:pStyle w:val="TOC3"/>
        <w:tabs>
          <w:tab w:val="left" w:pos="2880"/>
        </w:tabs>
        <w:rPr>
          <w:szCs w:val="24"/>
          <w:lang w:val="pt-PT"/>
        </w:rPr>
      </w:pPr>
      <w:hyperlink w:anchor="_Toc446535891" w:history="1">
        <w:r w:rsidR="00B666F3" w:rsidRPr="00693CDB">
          <w:rPr>
            <w:rStyle w:val="Hyperlink"/>
            <w:color w:val="auto"/>
            <w:lang w:val="pt-PT"/>
          </w:rPr>
          <w:t>II.16.2</w:t>
        </w:r>
        <w:r w:rsidR="00B666F3" w:rsidRPr="00693CDB">
          <w:rPr>
            <w:lang w:val="pt-PT"/>
          </w:rPr>
          <w:tab/>
        </w:r>
        <w:r w:rsidR="00B666F3" w:rsidRPr="00693CDB">
          <w:rPr>
            <w:rStyle w:val="Hyperlink"/>
            <w:color w:val="auto"/>
            <w:lang w:val="pt-PT"/>
          </w:rPr>
          <w:t>Suspensão da execução pela Comissão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_Toc446535891 \h </w:instrText>
        </w:r>
        <w:r w:rsidR="00B666F3" w:rsidRPr="00693CDB">
          <w:rPr>
            <w:webHidden/>
          </w:rPr>
        </w:r>
        <w:r w:rsidR="00B666F3" w:rsidRPr="00693CDB">
          <w:rPr>
            <w:webHidden/>
          </w:rPr>
          <w:fldChar w:fldCharType="separate"/>
        </w:r>
        <w:r w:rsidR="00B666F3" w:rsidRPr="00693CDB">
          <w:rPr>
            <w:webHidden/>
            <w:lang w:val="pt-PT"/>
          </w:rPr>
          <w:t>16</w:t>
        </w:r>
        <w:r w:rsidR="00B666F3" w:rsidRPr="00693CDB">
          <w:rPr>
            <w:webHidden/>
          </w:rPr>
          <w:fldChar w:fldCharType="end"/>
        </w:r>
      </w:hyperlink>
    </w:p>
    <w:p w14:paraId="724BFC86" w14:textId="7C0B17E5" w:rsidR="007A392C" w:rsidRPr="00693CDB" w:rsidRDefault="00693CDB">
      <w:pPr>
        <w:pStyle w:val="TOC3"/>
        <w:tabs>
          <w:tab w:val="left" w:pos="2880"/>
        </w:tabs>
        <w:rPr>
          <w:szCs w:val="24"/>
          <w:lang w:val="pt-PT"/>
        </w:rPr>
      </w:pPr>
      <w:hyperlink w:anchor="_Toc446535892" w:history="1">
        <w:r w:rsidR="00B666F3" w:rsidRPr="00693CDB">
          <w:rPr>
            <w:rStyle w:val="Hyperlink"/>
            <w:color w:val="auto"/>
            <w:lang w:val="pt-PT"/>
          </w:rPr>
          <w:t xml:space="preserve">II.16.3 </w:t>
        </w:r>
        <w:r w:rsidR="00B666F3" w:rsidRPr="00693CDB">
          <w:rPr>
            <w:lang w:val="pt-PT"/>
          </w:rPr>
          <w:tab/>
        </w:r>
        <w:r w:rsidR="00B666F3" w:rsidRPr="00693CDB">
          <w:rPr>
            <w:rStyle w:val="Hyperlink"/>
            <w:color w:val="auto"/>
            <w:lang w:val="pt-PT"/>
          </w:rPr>
          <w:t>Efeitos da suspensão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_Toc446535892 \h </w:instrText>
        </w:r>
        <w:r w:rsidR="00B666F3" w:rsidRPr="00693CDB">
          <w:rPr>
            <w:webHidden/>
          </w:rPr>
        </w:r>
        <w:r w:rsidR="00B666F3" w:rsidRPr="00693CDB">
          <w:rPr>
            <w:webHidden/>
          </w:rPr>
          <w:fldChar w:fldCharType="separate"/>
        </w:r>
        <w:r w:rsidR="00B666F3" w:rsidRPr="00693CDB">
          <w:rPr>
            <w:webHidden/>
            <w:lang w:val="pt-PT"/>
          </w:rPr>
          <w:t>17</w:t>
        </w:r>
        <w:r w:rsidR="00B666F3" w:rsidRPr="00693CDB">
          <w:rPr>
            <w:webHidden/>
          </w:rPr>
          <w:fldChar w:fldCharType="end"/>
        </w:r>
      </w:hyperlink>
    </w:p>
    <w:p w14:paraId="68238D40" w14:textId="50A0AD24" w:rsidR="007A392C" w:rsidRPr="00693CDB" w:rsidRDefault="00693CDB">
      <w:pPr>
        <w:pStyle w:val="TOC2"/>
        <w:rPr>
          <w:szCs w:val="24"/>
          <w:lang w:val="pt-PT"/>
        </w:rPr>
      </w:pPr>
      <w:hyperlink w:anchor="_Toc446535893" w:history="1">
        <w:r w:rsidR="00B666F3" w:rsidRPr="00693CDB">
          <w:rPr>
            <w:rStyle w:val="Hyperlink"/>
            <w:color w:val="auto"/>
            <w:lang w:val="pt-PT"/>
          </w:rPr>
          <w:t>Artigo II.17 — Cessação da vigência da subvenção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_Toc446535893 \h </w:instrText>
        </w:r>
        <w:r w:rsidR="00B666F3" w:rsidRPr="00693CDB">
          <w:rPr>
            <w:webHidden/>
          </w:rPr>
        </w:r>
        <w:r w:rsidR="00B666F3" w:rsidRPr="00693CDB">
          <w:rPr>
            <w:webHidden/>
          </w:rPr>
          <w:fldChar w:fldCharType="separate"/>
        </w:r>
        <w:r w:rsidR="00B666F3" w:rsidRPr="00693CDB">
          <w:rPr>
            <w:webHidden/>
            <w:lang w:val="pt-PT"/>
          </w:rPr>
          <w:t>17</w:t>
        </w:r>
        <w:r w:rsidR="00B666F3" w:rsidRPr="00693CDB">
          <w:rPr>
            <w:webHidden/>
          </w:rPr>
          <w:fldChar w:fldCharType="end"/>
        </w:r>
      </w:hyperlink>
    </w:p>
    <w:p w14:paraId="36EEB1BC" w14:textId="3F1F2F25" w:rsidR="007A392C" w:rsidRPr="00693CDB" w:rsidRDefault="00693CDB">
      <w:pPr>
        <w:pStyle w:val="TOC3"/>
        <w:tabs>
          <w:tab w:val="left" w:pos="2880"/>
        </w:tabs>
        <w:rPr>
          <w:szCs w:val="24"/>
          <w:lang w:val="pt-PT"/>
        </w:rPr>
      </w:pPr>
      <w:hyperlink w:anchor="_Toc446535894" w:history="1">
        <w:r w:rsidR="00B666F3" w:rsidRPr="00693CDB">
          <w:rPr>
            <w:rStyle w:val="Hyperlink"/>
            <w:color w:val="auto"/>
            <w:lang w:val="pt-PT"/>
          </w:rPr>
          <w:t>II.17.1</w:t>
        </w:r>
        <w:r w:rsidR="00B666F3" w:rsidRPr="00693CDB">
          <w:rPr>
            <w:lang w:val="pt-PT"/>
          </w:rPr>
          <w:tab/>
        </w:r>
        <w:r w:rsidR="00B666F3" w:rsidRPr="00693CDB">
          <w:rPr>
            <w:rStyle w:val="Hyperlink"/>
            <w:color w:val="auto"/>
            <w:lang w:val="pt-PT"/>
          </w:rPr>
          <w:t>Cessação da vigência da convenção pelo beneficiário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_Toc446535894 \h </w:instrText>
        </w:r>
        <w:r w:rsidR="00B666F3" w:rsidRPr="00693CDB">
          <w:rPr>
            <w:webHidden/>
          </w:rPr>
        </w:r>
        <w:r w:rsidR="00B666F3" w:rsidRPr="00693CDB">
          <w:rPr>
            <w:webHidden/>
          </w:rPr>
          <w:fldChar w:fldCharType="separate"/>
        </w:r>
        <w:r w:rsidR="00B666F3" w:rsidRPr="00693CDB">
          <w:rPr>
            <w:webHidden/>
            <w:lang w:val="pt-PT"/>
          </w:rPr>
          <w:t>17</w:t>
        </w:r>
        <w:r w:rsidR="00B666F3" w:rsidRPr="00693CDB">
          <w:rPr>
            <w:webHidden/>
          </w:rPr>
          <w:fldChar w:fldCharType="end"/>
        </w:r>
      </w:hyperlink>
    </w:p>
    <w:p w14:paraId="7E2538D5" w14:textId="2A607BF4" w:rsidR="007A392C" w:rsidRPr="00693CDB" w:rsidRDefault="00693CDB">
      <w:pPr>
        <w:pStyle w:val="TOC3"/>
        <w:tabs>
          <w:tab w:val="left" w:pos="2880"/>
        </w:tabs>
        <w:rPr>
          <w:szCs w:val="24"/>
          <w:lang w:val="pt-PT"/>
        </w:rPr>
      </w:pPr>
      <w:hyperlink w:anchor="_Toc446535896" w:history="1">
        <w:r w:rsidR="00B666F3" w:rsidRPr="00693CDB">
          <w:rPr>
            <w:rStyle w:val="Hyperlink"/>
            <w:color w:val="auto"/>
            <w:lang w:val="pt-PT"/>
          </w:rPr>
          <w:t>II.17.2</w:t>
        </w:r>
        <w:r w:rsidR="00B666F3" w:rsidRPr="00693CDB">
          <w:rPr>
            <w:lang w:val="pt-PT"/>
          </w:rPr>
          <w:tab/>
        </w:r>
        <w:r w:rsidR="00B666F3" w:rsidRPr="00693CDB">
          <w:rPr>
            <w:rStyle w:val="Hyperlink"/>
            <w:color w:val="auto"/>
            <w:lang w:val="pt-PT"/>
          </w:rPr>
          <w:t>Resolução da vigência da convenção pela Comissão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_Toc446535896 \h </w:instrText>
        </w:r>
        <w:r w:rsidR="00B666F3" w:rsidRPr="00693CDB">
          <w:rPr>
            <w:webHidden/>
          </w:rPr>
        </w:r>
        <w:r w:rsidR="00B666F3" w:rsidRPr="00693CDB">
          <w:rPr>
            <w:webHidden/>
          </w:rPr>
          <w:fldChar w:fldCharType="separate"/>
        </w:r>
        <w:r w:rsidR="00B666F3" w:rsidRPr="00693CDB">
          <w:rPr>
            <w:webHidden/>
            <w:lang w:val="pt-PT"/>
          </w:rPr>
          <w:t>18</w:t>
        </w:r>
        <w:r w:rsidR="00B666F3" w:rsidRPr="00693CDB">
          <w:rPr>
            <w:webHidden/>
          </w:rPr>
          <w:fldChar w:fldCharType="end"/>
        </w:r>
      </w:hyperlink>
    </w:p>
    <w:p w14:paraId="750244C7" w14:textId="52800D7E" w:rsidR="007A392C" w:rsidRPr="00693CDB" w:rsidRDefault="00693CDB">
      <w:pPr>
        <w:pStyle w:val="TOC3"/>
        <w:tabs>
          <w:tab w:val="left" w:pos="2880"/>
        </w:tabs>
        <w:rPr>
          <w:szCs w:val="24"/>
          <w:lang w:val="pt-PT"/>
        </w:rPr>
      </w:pPr>
      <w:hyperlink w:anchor="_Toc446535897" w:history="1">
        <w:r w:rsidR="00B666F3" w:rsidRPr="00693CDB">
          <w:rPr>
            <w:rStyle w:val="Hyperlink"/>
            <w:color w:val="auto"/>
            <w:lang w:val="pt-PT"/>
          </w:rPr>
          <w:t>II.17.3</w:t>
        </w:r>
        <w:r w:rsidR="00B666F3" w:rsidRPr="00693CDB">
          <w:rPr>
            <w:lang w:val="pt-PT"/>
          </w:rPr>
          <w:tab/>
        </w:r>
        <w:r w:rsidR="00B666F3" w:rsidRPr="00693CDB">
          <w:rPr>
            <w:rStyle w:val="Hyperlink"/>
            <w:color w:val="auto"/>
            <w:lang w:val="pt-PT"/>
          </w:rPr>
          <w:t>Efeitos da resolução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_Toc446535897 \h </w:instrText>
        </w:r>
        <w:r w:rsidR="00B666F3" w:rsidRPr="00693CDB">
          <w:rPr>
            <w:webHidden/>
          </w:rPr>
        </w:r>
        <w:r w:rsidR="00B666F3" w:rsidRPr="00693CDB">
          <w:rPr>
            <w:webHidden/>
          </w:rPr>
          <w:fldChar w:fldCharType="separate"/>
        </w:r>
        <w:r w:rsidR="00B666F3" w:rsidRPr="00693CDB">
          <w:rPr>
            <w:webHidden/>
            <w:lang w:val="pt-PT"/>
          </w:rPr>
          <w:t>20</w:t>
        </w:r>
        <w:r w:rsidR="00B666F3" w:rsidRPr="00693CDB">
          <w:rPr>
            <w:webHidden/>
          </w:rPr>
          <w:fldChar w:fldCharType="end"/>
        </w:r>
      </w:hyperlink>
    </w:p>
    <w:p w14:paraId="73157ACE" w14:textId="15926A0D" w:rsidR="007A392C" w:rsidRPr="00693CDB" w:rsidRDefault="00693CDB">
      <w:pPr>
        <w:pStyle w:val="TOC2"/>
        <w:rPr>
          <w:szCs w:val="24"/>
          <w:lang w:val="pt-PT"/>
        </w:rPr>
      </w:pPr>
      <w:hyperlink w:anchor="_Toc446535898" w:history="1">
        <w:r w:rsidR="00B666F3" w:rsidRPr="00693CDB">
          <w:rPr>
            <w:rStyle w:val="Hyperlink"/>
            <w:color w:val="auto"/>
            <w:lang w:val="pt-PT"/>
          </w:rPr>
          <w:t>Artigo II.18 — Legislação aplicável, resolução de litígios e decisões executórias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_Toc446535898 \h </w:instrText>
        </w:r>
        <w:r w:rsidR="00B666F3" w:rsidRPr="00693CDB">
          <w:rPr>
            <w:webHidden/>
          </w:rPr>
        </w:r>
        <w:r w:rsidR="00B666F3" w:rsidRPr="00693CDB">
          <w:rPr>
            <w:webHidden/>
          </w:rPr>
          <w:fldChar w:fldCharType="separate"/>
        </w:r>
        <w:r w:rsidR="00B666F3" w:rsidRPr="00693CDB">
          <w:rPr>
            <w:webHidden/>
            <w:lang w:val="pt-PT"/>
          </w:rPr>
          <w:t>21</w:t>
        </w:r>
        <w:r w:rsidR="00B666F3" w:rsidRPr="00693CDB">
          <w:rPr>
            <w:webHidden/>
          </w:rPr>
          <w:fldChar w:fldCharType="end"/>
        </w:r>
      </w:hyperlink>
    </w:p>
    <w:p w14:paraId="1A151C10" w14:textId="2CFB2EF2" w:rsidR="007A392C" w:rsidRPr="00693CDB" w:rsidRDefault="00693CDB">
      <w:pPr>
        <w:pStyle w:val="TOC1"/>
        <w:rPr>
          <w:b w:val="0"/>
          <w:caps w:val="0"/>
          <w:szCs w:val="24"/>
          <w:lang w:val="pt-PT"/>
        </w:rPr>
      </w:pPr>
      <w:hyperlink w:anchor="_Toc446535899" w:history="1">
        <w:r w:rsidR="00B666F3" w:rsidRPr="00693CDB">
          <w:rPr>
            <w:rStyle w:val="Hyperlink"/>
            <w:color w:val="auto"/>
            <w:lang w:val="pt-PT"/>
          </w:rPr>
          <w:t>PARTE B — DISPOSIÇÕES FINANCEIRAS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_Toc446535899 \h </w:instrText>
        </w:r>
        <w:r w:rsidR="00B666F3" w:rsidRPr="00693CDB">
          <w:rPr>
            <w:webHidden/>
          </w:rPr>
        </w:r>
        <w:r w:rsidR="00B666F3" w:rsidRPr="00693CDB">
          <w:rPr>
            <w:webHidden/>
          </w:rPr>
          <w:fldChar w:fldCharType="separate"/>
        </w:r>
        <w:r w:rsidR="00B666F3" w:rsidRPr="00693CDB">
          <w:rPr>
            <w:webHidden/>
            <w:lang w:val="pt-PT"/>
          </w:rPr>
          <w:t>22</w:t>
        </w:r>
        <w:r w:rsidR="00B666F3" w:rsidRPr="00693CDB">
          <w:rPr>
            <w:webHidden/>
          </w:rPr>
          <w:fldChar w:fldCharType="end"/>
        </w:r>
      </w:hyperlink>
    </w:p>
    <w:p w14:paraId="36E24297" w14:textId="3B44B28F" w:rsidR="007A392C" w:rsidRPr="00693CDB" w:rsidRDefault="00693CDB">
      <w:pPr>
        <w:pStyle w:val="TOC2"/>
        <w:rPr>
          <w:szCs w:val="24"/>
          <w:lang w:val="pt-PT"/>
        </w:rPr>
      </w:pPr>
      <w:hyperlink w:anchor="_Toc446535900" w:history="1">
        <w:r w:rsidR="00B666F3" w:rsidRPr="00693CDB">
          <w:rPr>
            <w:rStyle w:val="Hyperlink"/>
            <w:color w:val="auto"/>
            <w:lang w:val="pt-PT"/>
          </w:rPr>
          <w:t>Artigo II.19 — Custos elegíveis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_Toc446535900 \h </w:instrText>
        </w:r>
        <w:r w:rsidR="00B666F3" w:rsidRPr="00693CDB">
          <w:rPr>
            <w:webHidden/>
          </w:rPr>
        </w:r>
        <w:r w:rsidR="00B666F3" w:rsidRPr="00693CDB">
          <w:rPr>
            <w:webHidden/>
          </w:rPr>
          <w:fldChar w:fldCharType="separate"/>
        </w:r>
        <w:r w:rsidR="00B666F3" w:rsidRPr="00693CDB">
          <w:rPr>
            <w:webHidden/>
            <w:lang w:val="pt-PT"/>
          </w:rPr>
          <w:t>22</w:t>
        </w:r>
        <w:r w:rsidR="00B666F3" w:rsidRPr="00693CDB">
          <w:rPr>
            <w:webHidden/>
          </w:rPr>
          <w:fldChar w:fldCharType="end"/>
        </w:r>
      </w:hyperlink>
    </w:p>
    <w:p w14:paraId="21217E36" w14:textId="5582FE13" w:rsidR="007A392C" w:rsidRPr="00693CDB" w:rsidRDefault="00693CDB">
      <w:pPr>
        <w:pStyle w:val="TOC3"/>
        <w:tabs>
          <w:tab w:val="left" w:pos="2880"/>
        </w:tabs>
        <w:rPr>
          <w:szCs w:val="24"/>
          <w:lang w:val="pt-PT"/>
        </w:rPr>
      </w:pPr>
      <w:hyperlink w:anchor="_Toc446535901" w:history="1">
        <w:r w:rsidR="00B666F3" w:rsidRPr="00693CDB">
          <w:rPr>
            <w:rStyle w:val="Hyperlink"/>
            <w:color w:val="auto"/>
            <w:lang w:val="pt-PT"/>
          </w:rPr>
          <w:t>II.19.1</w:t>
        </w:r>
        <w:r w:rsidR="00B666F3" w:rsidRPr="00693CDB">
          <w:rPr>
            <w:lang w:val="pt-PT"/>
          </w:rPr>
          <w:tab/>
        </w:r>
        <w:r w:rsidR="00B666F3" w:rsidRPr="00693CDB">
          <w:rPr>
            <w:rStyle w:val="Hyperlink"/>
            <w:color w:val="auto"/>
            <w:lang w:val="pt-PT"/>
          </w:rPr>
          <w:t>Condições de elegibilidade dos custos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_Toc446535901 \h </w:instrText>
        </w:r>
        <w:r w:rsidR="00B666F3" w:rsidRPr="00693CDB">
          <w:rPr>
            <w:webHidden/>
          </w:rPr>
        </w:r>
        <w:r w:rsidR="00B666F3" w:rsidRPr="00693CDB">
          <w:rPr>
            <w:webHidden/>
          </w:rPr>
          <w:fldChar w:fldCharType="separate"/>
        </w:r>
        <w:r w:rsidR="00B666F3" w:rsidRPr="00693CDB">
          <w:rPr>
            <w:webHidden/>
            <w:lang w:val="pt-PT"/>
          </w:rPr>
          <w:t>22</w:t>
        </w:r>
        <w:r w:rsidR="00B666F3" w:rsidRPr="00693CDB">
          <w:rPr>
            <w:webHidden/>
          </w:rPr>
          <w:fldChar w:fldCharType="end"/>
        </w:r>
      </w:hyperlink>
    </w:p>
    <w:p w14:paraId="1CF3B1EA" w14:textId="1D5A0ED9" w:rsidR="007A392C" w:rsidRPr="00693CDB" w:rsidRDefault="00693CDB">
      <w:pPr>
        <w:pStyle w:val="TOC3"/>
        <w:tabs>
          <w:tab w:val="left" w:pos="2880"/>
        </w:tabs>
        <w:rPr>
          <w:szCs w:val="24"/>
          <w:lang w:val="pt-PT"/>
        </w:rPr>
      </w:pPr>
      <w:hyperlink w:anchor="_Toc446535902" w:history="1">
        <w:r w:rsidR="00B666F3" w:rsidRPr="00693CDB">
          <w:rPr>
            <w:rStyle w:val="Hyperlink"/>
            <w:color w:val="auto"/>
            <w:lang w:val="pt-PT"/>
          </w:rPr>
          <w:t>II.19.2</w:t>
        </w:r>
        <w:r w:rsidR="00B666F3" w:rsidRPr="00693CDB">
          <w:rPr>
            <w:lang w:val="pt-PT"/>
          </w:rPr>
          <w:tab/>
        </w:r>
        <w:r w:rsidR="00B666F3" w:rsidRPr="00693CDB">
          <w:rPr>
            <w:rStyle w:val="Hyperlink"/>
            <w:color w:val="auto"/>
            <w:lang w:val="pt-PT"/>
          </w:rPr>
          <w:t>Custos diretos elegíveis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_Toc446535902 \h </w:instrText>
        </w:r>
        <w:r w:rsidR="00B666F3" w:rsidRPr="00693CDB">
          <w:rPr>
            <w:webHidden/>
          </w:rPr>
        </w:r>
        <w:r w:rsidR="00B666F3" w:rsidRPr="00693CDB">
          <w:rPr>
            <w:webHidden/>
          </w:rPr>
          <w:fldChar w:fldCharType="separate"/>
        </w:r>
        <w:r w:rsidR="00B666F3" w:rsidRPr="00693CDB">
          <w:rPr>
            <w:webHidden/>
            <w:lang w:val="pt-PT"/>
          </w:rPr>
          <w:t>22</w:t>
        </w:r>
        <w:r w:rsidR="00B666F3" w:rsidRPr="00693CDB">
          <w:rPr>
            <w:webHidden/>
          </w:rPr>
          <w:fldChar w:fldCharType="end"/>
        </w:r>
      </w:hyperlink>
    </w:p>
    <w:p w14:paraId="4BFD1EBF" w14:textId="22F85C8C" w:rsidR="007A392C" w:rsidRPr="00693CDB" w:rsidRDefault="00693CDB">
      <w:pPr>
        <w:pStyle w:val="TOC3"/>
        <w:tabs>
          <w:tab w:val="left" w:pos="2880"/>
        </w:tabs>
        <w:rPr>
          <w:szCs w:val="24"/>
          <w:lang w:val="pt-PT"/>
        </w:rPr>
      </w:pPr>
      <w:hyperlink w:anchor="_Toc446535903" w:history="1">
        <w:r w:rsidR="00B666F3" w:rsidRPr="00693CDB">
          <w:rPr>
            <w:rStyle w:val="Hyperlink"/>
            <w:color w:val="auto"/>
            <w:lang w:val="pt-PT"/>
          </w:rPr>
          <w:t>II.19.3</w:t>
        </w:r>
        <w:r w:rsidR="00B666F3" w:rsidRPr="00693CDB">
          <w:rPr>
            <w:lang w:val="pt-PT"/>
          </w:rPr>
          <w:tab/>
        </w:r>
        <w:r w:rsidR="00B666F3" w:rsidRPr="00693CDB">
          <w:rPr>
            <w:rStyle w:val="Hyperlink"/>
            <w:color w:val="auto"/>
            <w:lang w:val="pt-PT"/>
          </w:rPr>
          <w:t>Custos indiretos elegíveis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_Toc446535903 \h </w:instrText>
        </w:r>
        <w:r w:rsidR="00B666F3" w:rsidRPr="00693CDB">
          <w:rPr>
            <w:webHidden/>
          </w:rPr>
        </w:r>
        <w:r w:rsidR="00B666F3" w:rsidRPr="00693CDB">
          <w:rPr>
            <w:webHidden/>
          </w:rPr>
          <w:fldChar w:fldCharType="separate"/>
        </w:r>
        <w:r w:rsidR="00B666F3" w:rsidRPr="00693CDB">
          <w:rPr>
            <w:webHidden/>
            <w:lang w:val="pt-PT"/>
          </w:rPr>
          <w:t>24</w:t>
        </w:r>
        <w:r w:rsidR="00B666F3" w:rsidRPr="00693CDB">
          <w:rPr>
            <w:webHidden/>
          </w:rPr>
          <w:fldChar w:fldCharType="end"/>
        </w:r>
      </w:hyperlink>
    </w:p>
    <w:p w14:paraId="48915CD4" w14:textId="2D0325CD" w:rsidR="007A392C" w:rsidRPr="00693CDB" w:rsidRDefault="00693CDB">
      <w:pPr>
        <w:pStyle w:val="TOC3"/>
        <w:tabs>
          <w:tab w:val="left" w:pos="2880"/>
        </w:tabs>
        <w:rPr>
          <w:szCs w:val="24"/>
          <w:lang w:val="pt-PT"/>
        </w:rPr>
      </w:pPr>
      <w:hyperlink w:anchor="_Toc446535904" w:history="1">
        <w:r w:rsidR="00B666F3" w:rsidRPr="00693CDB">
          <w:rPr>
            <w:rStyle w:val="Hyperlink"/>
            <w:color w:val="auto"/>
            <w:lang w:val="pt-PT"/>
          </w:rPr>
          <w:t>II.19.4</w:t>
        </w:r>
        <w:r w:rsidR="00B666F3" w:rsidRPr="00693CDB">
          <w:rPr>
            <w:lang w:val="pt-PT"/>
          </w:rPr>
          <w:tab/>
        </w:r>
        <w:r w:rsidR="00B666F3" w:rsidRPr="00693CDB">
          <w:rPr>
            <w:rStyle w:val="Hyperlink"/>
            <w:color w:val="auto"/>
            <w:lang w:val="pt-PT"/>
          </w:rPr>
          <w:t>Custos não elegíveis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_Toc446535904 \h </w:instrText>
        </w:r>
        <w:r w:rsidR="00B666F3" w:rsidRPr="00693CDB">
          <w:rPr>
            <w:webHidden/>
          </w:rPr>
        </w:r>
        <w:r w:rsidR="00B666F3" w:rsidRPr="00693CDB">
          <w:rPr>
            <w:webHidden/>
          </w:rPr>
          <w:fldChar w:fldCharType="separate"/>
        </w:r>
        <w:r w:rsidR="00B666F3" w:rsidRPr="00693CDB">
          <w:rPr>
            <w:webHidden/>
            <w:lang w:val="pt-PT"/>
          </w:rPr>
          <w:t>24</w:t>
        </w:r>
        <w:r w:rsidR="00B666F3" w:rsidRPr="00693CDB">
          <w:rPr>
            <w:webHidden/>
          </w:rPr>
          <w:fldChar w:fldCharType="end"/>
        </w:r>
      </w:hyperlink>
    </w:p>
    <w:p w14:paraId="0BA309E2" w14:textId="6CCDF320" w:rsidR="007A392C" w:rsidRPr="00693CDB" w:rsidRDefault="00693CDB">
      <w:pPr>
        <w:pStyle w:val="TOC2"/>
        <w:rPr>
          <w:szCs w:val="24"/>
          <w:lang w:val="pt-PT"/>
        </w:rPr>
      </w:pPr>
      <w:hyperlink w:anchor="_Toc446535905" w:history="1">
        <w:r w:rsidR="00B666F3" w:rsidRPr="00693CDB">
          <w:rPr>
            <w:rStyle w:val="Hyperlink"/>
            <w:color w:val="auto"/>
            <w:lang w:val="pt-PT"/>
          </w:rPr>
          <w:t>Artigo II.20 — Identificabilidade e verificabilidade dos montantes declarados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_Toc446535905 \h </w:instrText>
        </w:r>
        <w:r w:rsidR="00B666F3" w:rsidRPr="00693CDB">
          <w:rPr>
            <w:webHidden/>
          </w:rPr>
        </w:r>
        <w:r w:rsidR="00B666F3" w:rsidRPr="00693CDB">
          <w:rPr>
            <w:webHidden/>
          </w:rPr>
          <w:fldChar w:fldCharType="separate"/>
        </w:r>
        <w:r w:rsidR="00B666F3" w:rsidRPr="00693CDB">
          <w:rPr>
            <w:webHidden/>
            <w:lang w:val="pt-PT"/>
          </w:rPr>
          <w:t>24</w:t>
        </w:r>
        <w:r w:rsidR="00B666F3" w:rsidRPr="00693CDB">
          <w:rPr>
            <w:webHidden/>
          </w:rPr>
          <w:fldChar w:fldCharType="end"/>
        </w:r>
      </w:hyperlink>
    </w:p>
    <w:p w14:paraId="08BEE6EA" w14:textId="33F501AB" w:rsidR="007A392C" w:rsidRPr="00693CDB" w:rsidRDefault="00693CDB">
      <w:pPr>
        <w:pStyle w:val="TOC3"/>
        <w:rPr>
          <w:szCs w:val="24"/>
          <w:lang w:val="pt-PT"/>
        </w:rPr>
      </w:pPr>
      <w:hyperlink w:anchor="_Toc446535906" w:history="1">
        <w:r w:rsidR="00B666F3" w:rsidRPr="00693CDB">
          <w:rPr>
            <w:rStyle w:val="Hyperlink"/>
            <w:color w:val="auto"/>
            <w:lang w:val="pt-PT"/>
          </w:rPr>
          <w:t>II.20.1 Declaração dos custos e contribuições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_Toc446535906 \h </w:instrText>
        </w:r>
        <w:r w:rsidR="00B666F3" w:rsidRPr="00693CDB">
          <w:rPr>
            <w:webHidden/>
          </w:rPr>
        </w:r>
        <w:r w:rsidR="00B666F3" w:rsidRPr="00693CDB">
          <w:rPr>
            <w:webHidden/>
          </w:rPr>
          <w:fldChar w:fldCharType="separate"/>
        </w:r>
        <w:r w:rsidR="00B666F3" w:rsidRPr="00693CDB">
          <w:rPr>
            <w:webHidden/>
            <w:lang w:val="pt-PT"/>
          </w:rPr>
          <w:t>24</w:t>
        </w:r>
        <w:r w:rsidR="00B666F3" w:rsidRPr="00693CDB">
          <w:rPr>
            <w:webHidden/>
          </w:rPr>
          <w:fldChar w:fldCharType="end"/>
        </w:r>
      </w:hyperlink>
    </w:p>
    <w:p w14:paraId="1EAD613F" w14:textId="594DDE74" w:rsidR="007A392C" w:rsidRPr="00693CDB" w:rsidRDefault="00693CDB">
      <w:pPr>
        <w:pStyle w:val="TOC3"/>
        <w:tabs>
          <w:tab w:val="left" w:pos="2880"/>
        </w:tabs>
        <w:rPr>
          <w:szCs w:val="24"/>
          <w:lang w:val="pt-PT"/>
        </w:rPr>
      </w:pPr>
      <w:hyperlink w:anchor="_Toc446535907" w:history="1">
        <w:r w:rsidR="00B666F3" w:rsidRPr="00693CDB">
          <w:rPr>
            <w:rStyle w:val="Hyperlink"/>
            <w:color w:val="auto"/>
            <w:lang w:val="pt-PT"/>
          </w:rPr>
          <w:t>II.20.2</w:t>
        </w:r>
        <w:r w:rsidR="00B666F3" w:rsidRPr="00693CDB">
          <w:rPr>
            <w:lang w:val="pt-PT"/>
          </w:rPr>
          <w:tab/>
        </w:r>
        <w:r w:rsidR="00B666F3" w:rsidRPr="00693CDB">
          <w:rPr>
            <w:rStyle w:val="Hyperlink"/>
            <w:color w:val="auto"/>
            <w:lang w:val="pt-PT"/>
          </w:rPr>
          <w:t>Registos e outros documentos comprovativos dos custos e das contribuições declarados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_Toc446535907 \h </w:instrText>
        </w:r>
        <w:r w:rsidR="00B666F3" w:rsidRPr="00693CDB">
          <w:rPr>
            <w:webHidden/>
          </w:rPr>
        </w:r>
        <w:r w:rsidR="00B666F3" w:rsidRPr="00693CDB">
          <w:rPr>
            <w:webHidden/>
          </w:rPr>
          <w:fldChar w:fldCharType="separate"/>
        </w:r>
        <w:r w:rsidR="00B666F3" w:rsidRPr="00693CDB">
          <w:rPr>
            <w:webHidden/>
            <w:lang w:val="pt-PT"/>
          </w:rPr>
          <w:t>25</w:t>
        </w:r>
        <w:r w:rsidR="00B666F3" w:rsidRPr="00693CDB">
          <w:rPr>
            <w:webHidden/>
          </w:rPr>
          <w:fldChar w:fldCharType="end"/>
        </w:r>
      </w:hyperlink>
    </w:p>
    <w:p w14:paraId="7C78773D" w14:textId="1B5BE01C" w:rsidR="007A392C" w:rsidRPr="00693CDB" w:rsidRDefault="00693CDB">
      <w:pPr>
        <w:pStyle w:val="TOC3"/>
        <w:rPr>
          <w:szCs w:val="24"/>
          <w:lang w:val="pt-PT"/>
        </w:rPr>
      </w:pPr>
      <w:hyperlink w:anchor="_Toc446535908" w:history="1">
        <w:r w:rsidR="00B666F3" w:rsidRPr="00693CDB">
          <w:rPr>
            <w:rStyle w:val="Hyperlink"/>
            <w:color w:val="auto"/>
            <w:lang w:val="pt-PT"/>
          </w:rPr>
          <w:t>II.20.3 Condições para determinar a conformidade das práticas de contabilidade analítica</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_Toc446535908 \h </w:instrText>
        </w:r>
        <w:r w:rsidR="00B666F3" w:rsidRPr="00693CDB">
          <w:rPr>
            <w:webHidden/>
          </w:rPr>
        </w:r>
        <w:r w:rsidR="00B666F3" w:rsidRPr="00693CDB">
          <w:rPr>
            <w:webHidden/>
          </w:rPr>
          <w:fldChar w:fldCharType="separate"/>
        </w:r>
        <w:r w:rsidR="00B666F3" w:rsidRPr="00693CDB">
          <w:rPr>
            <w:webHidden/>
            <w:lang w:val="pt-PT"/>
          </w:rPr>
          <w:t>26</w:t>
        </w:r>
        <w:r w:rsidR="00B666F3" w:rsidRPr="00693CDB">
          <w:rPr>
            <w:webHidden/>
          </w:rPr>
          <w:fldChar w:fldCharType="end"/>
        </w:r>
      </w:hyperlink>
    </w:p>
    <w:p w14:paraId="348358B2" w14:textId="2EB14F17" w:rsidR="007A392C" w:rsidRPr="00693CDB" w:rsidRDefault="00693CDB">
      <w:pPr>
        <w:pStyle w:val="TOC2"/>
        <w:rPr>
          <w:szCs w:val="24"/>
          <w:lang w:val="pt-PT"/>
        </w:rPr>
      </w:pPr>
      <w:hyperlink w:anchor="_Toc446535909" w:history="1">
        <w:r w:rsidR="00B666F3" w:rsidRPr="00693CDB">
          <w:rPr>
            <w:rStyle w:val="Hyperlink"/>
            <w:color w:val="auto"/>
            <w:lang w:val="pt-PT"/>
          </w:rPr>
          <w:t>Artigo II.21 — Elegibilidade dos custos das entidades afiliadas ao parceiro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_Toc446535909 \h </w:instrText>
        </w:r>
        <w:r w:rsidR="00B666F3" w:rsidRPr="00693CDB">
          <w:rPr>
            <w:webHidden/>
          </w:rPr>
        </w:r>
        <w:r w:rsidR="00B666F3" w:rsidRPr="00693CDB">
          <w:rPr>
            <w:webHidden/>
          </w:rPr>
          <w:fldChar w:fldCharType="separate"/>
        </w:r>
        <w:r w:rsidR="00B666F3" w:rsidRPr="00693CDB">
          <w:rPr>
            <w:webHidden/>
            <w:lang w:val="pt-PT"/>
          </w:rPr>
          <w:t>27</w:t>
        </w:r>
        <w:r w:rsidR="00B666F3" w:rsidRPr="00693CDB">
          <w:rPr>
            <w:webHidden/>
          </w:rPr>
          <w:fldChar w:fldCharType="end"/>
        </w:r>
      </w:hyperlink>
    </w:p>
    <w:p w14:paraId="2DEE701E" w14:textId="6333F2AE" w:rsidR="007A392C" w:rsidRPr="00693CDB" w:rsidRDefault="00693CDB">
      <w:pPr>
        <w:pStyle w:val="TOC2"/>
        <w:rPr>
          <w:szCs w:val="24"/>
          <w:lang w:val="pt-PT"/>
        </w:rPr>
      </w:pPr>
      <w:hyperlink w:anchor="_Toc446535910" w:history="1">
        <w:r w:rsidR="00B666F3" w:rsidRPr="00693CDB">
          <w:rPr>
            <w:rStyle w:val="Hyperlink"/>
            <w:color w:val="auto"/>
            <w:lang w:val="pt-PT"/>
          </w:rPr>
          <w:t>Artigo II.22 — Transferências orçamentais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_Toc446535910 \h </w:instrText>
        </w:r>
        <w:r w:rsidR="00B666F3" w:rsidRPr="00693CDB">
          <w:rPr>
            <w:webHidden/>
          </w:rPr>
        </w:r>
        <w:r w:rsidR="00B666F3" w:rsidRPr="00693CDB">
          <w:rPr>
            <w:webHidden/>
          </w:rPr>
          <w:fldChar w:fldCharType="separate"/>
        </w:r>
        <w:r w:rsidR="00B666F3" w:rsidRPr="00693CDB">
          <w:rPr>
            <w:webHidden/>
            <w:lang w:val="pt-PT"/>
          </w:rPr>
          <w:t>27</w:t>
        </w:r>
        <w:r w:rsidR="00B666F3" w:rsidRPr="00693CDB">
          <w:rPr>
            <w:webHidden/>
          </w:rPr>
          <w:fldChar w:fldCharType="end"/>
        </w:r>
      </w:hyperlink>
    </w:p>
    <w:p w14:paraId="2F50055E" w14:textId="5AF1E86F" w:rsidR="007A392C" w:rsidRPr="00693CDB" w:rsidRDefault="00693CDB">
      <w:pPr>
        <w:pStyle w:val="TOC2"/>
        <w:rPr>
          <w:szCs w:val="24"/>
          <w:lang w:val="pt-PT"/>
        </w:rPr>
      </w:pPr>
      <w:hyperlink w:anchor="_Toc446535911" w:history="1">
        <w:r w:rsidR="00B666F3" w:rsidRPr="00693CDB">
          <w:rPr>
            <w:rStyle w:val="Hyperlink"/>
            <w:color w:val="auto"/>
            <w:lang w:val="pt-PT"/>
          </w:rPr>
          <w:t>Artigo II.23 — Incumprimento das obrigações em matéria de apresentação de relatórios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_Toc446535911 \h </w:instrText>
        </w:r>
        <w:r w:rsidR="00B666F3" w:rsidRPr="00693CDB">
          <w:rPr>
            <w:webHidden/>
          </w:rPr>
        </w:r>
        <w:r w:rsidR="00B666F3" w:rsidRPr="00693CDB">
          <w:rPr>
            <w:webHidden/>
          </w:rPr>
          <w:fldChar w:fldCharType="separate"/>
        </w:r>
        <w:r w:rsidR="00B666F3" w:rsidRPr="00693CDB">
          <w:rPr>
            <w:webHidden/>
            <w:lang w:val="pt-PT"/>
          </w:rPr>
          <w:t>27</w:t>
        </w:r>
        <w:r w:rsidR="00B666F3" w:rsidRPr="00693CDB">
          <w:rPr>
            <w:webHidden/>
          </w:rPr>
          <w:fldChar w:fldCharType="end"/>
        </w:r>
      </w:hyperlink>
    </w:p>
    <w:p w14:paraId="2BEAB227" w14:textId="0D6EC165" w:rsidR="007A392C" w:rsidRPr="00693CDB" w:rsidRDefault="00693CDB">
      <w:pPr>
        <w:pStyle w:val="TOC2"/>
        <w:rPr>
          <w:szCs w:val="24"/>
          <w:lang w:val="pt-PT"/>
        </w:rPr>
      </w:pPr>
      <w:hyperlink w:anchor="_Toc446535912" w:history="1">
        <w:r w:rsidR="00B666F3" w:rsidRPr="00693CDB">
          <w:rPr>
            <w:rStyle w:val="Hyperlink"/>
            <w:color w:val="auto"/>
            <w:lang w:val="pt-PT"/>
          </w:rPr>
          <w:t>Artigo II.24 — Suspensão dos pagamentos e prazos de pagamento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_Toc446535912 \h </w:instrText>
        </w:r>
        <w:r w:rsidR="00B666F3" w:rsidRPr="00693CDB">
          <w:rPr>
            <w:webHidden/>
          </w:rPr>
        </w:r>
        <w:r w:rsidR="00B666F3" w:rsidRPr="00693CDB">
          <w:rPr>
            <w:webHidden/>
          </w:rPr>
          <w:fldChar w:fldCharType="separate"/>
        </w:r>
        <w:r w:rsidR="00B666F3" w:rsidRPr="00693CDB">
          <w:rPr>
            <w:webHidden/>
            <w:lang w:val="pt-PT"/>
          </w:rPr>
          <w:t>28</w:t>
        </w:r>
        <w:r w:rsidR="00B666F3" w:rsidRPr="00693CDB">
          <w:rPr>
            <w:webHidden/>
          </w:rPr>
          <w:fldChar w:fldCharType="end"/>
        </w:r>
      </w:hyperlink>
    </w:p>
    <w:p w14:paraId="65C15530" w14:textId="6CFDF5B6" w:rsidR="007A392C" w:rsidRPr="00693CDB" w:rsidRDefault="00693CDB">
      <w:pPr>
        <w:pStyle w:val="TOC3"/>
        <w:rPr>
          <w:szCs w:val="24"/>
          <w:lang w:val="pt-PT"/>
        </w:rPr>
      </w:pPr>
      <w:hyperlink w:anchor="_Toc446535913" w:history="1">
        <w:r w:rsidR="00B666F3" w:rsidRPr="00693CDB">
          <w:rPr>
            <w:rStyle w:val="Hyperlink"/>
            <w:color w:val="auto"/>
            <w:lang w:val="pt-PT"/>
          </w:rPr>
          <w:t>II.24.1 Suspensão de pagamentos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_Toc446535913 \h </w:instrText>
        </w:r>
        <w:r w:rsidR="00B666F3" w:rsidRPr="00693CDB">
          <w:rPr>
            <w:webHidden/>
          </w:rPr>
        </w:r>
        <w:r w:rsidR="00B666F3" w:rsidRPr="00693CDB">
          <w:rPr>
            <w:webHidden/>
          </w:rPr>
          <w:fldChar w:fldCharType="separate"/>
        </w:r>
        <w:r w:rsidR="00B666F3" w:rsidRPr="00693CDB">
          <w:rPr>
            <w:webHidden/>
            <w:lang w:val="pt-PT"/>
          </w:rPr>
          <w:t>28</w:t>
        </w:r>
        <w:r w:rsidR="00B666F3" w:rsidRPr="00693CDB">
          <w:rPr>
            <w:webHidden/>
          </w:rPr>
          <w:fldChar w:fldCharType="end"/>
        </w:r>
      </w:hyperlink>
    </w:p>
    <w:p w14:paraId="44EDF62B" w14:textId="65C845E5" w:rsidR="007A392C" w:rsidRPr="00693CDB" w:rsidRDefault="00693CDB">
      <w:pPr>
        <w:pStyle w:val="TOC3"/>
        <w:rPr>
          <w:szCs w:val="24"/>
          <w:lang w:val="pt-PT"/>
        </w:rPr>
      </w:pPr>
      <w:hyperlink w:anchor="_Toc446535914" w:history="1">
        <w:r w:rsidR="00B666F3" w:rsidRPr="00693CDB">
          <w:rPr>
            <w:rStyle w:val="Hyperlink"/>
            <w:color w:val="auto"/>
            <w:lang w:val="pt-PT"/>
          </w:rPr>
          <w:t>II.24.2 Suspensão do prazo de pagamento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_Toc446535914 \h </w:instrText>
        </w:r>
        <w:r w:rsidR="00B666F3" w:rsidRPr="00693CDB">
          <w:rPr>
            <w:webHidden/>
          </w:rPr>
        </w:r>
        <w:r w:rsidR="00B666F3" w:rsidRPr="00693CDB">
          <w:rPr>
            <w:webHidden/>
          </w:rPr>
          <w:fldChar w:fldCharType="separate"/>
        </w:r>
        <w:r w:rsidR="00B666F3" w:rsidRPr="00693CDB">
          <w:rPr>
            <w:webHidden/>
            <w:lang w:val="pt-PT"/>
          </w:rPr>
          <w:t>29</w:t>
        </w:r>
        <w:r w:rsidR="00B666F3" w:rsidRPr="00693CDB">
          <w:rPr>
            <w:webHidden/>
          </w:rPr>
          <w:fldChar w:fldCharType="end"/>
        </w:r>
      </w:hyperlink>
    </w:p>
    <w:p w14:paraId="7809A064" w14:textId="4F2E48EB" w:rsidR="007A392C" w:rsidRPr="00693CDB" w:rsidRDefault="00693CDB">
      <w:pPr>
        <w:pStyle w:val="TOC2"/>
        <w:rPr>
          <w:szCs w:val="24"/>
          <w:lang w:val="pt-PT"/>
        </w:rPr>
      </w:pPr>
      <w:hyperlink w:anchor="_Toc446535915" w:history="1">
        <w:r w:rsidR="00B666F3" w:rsidRPr="00693CDB">
          <w:rPr>
            <w:rStyle w:val="Hyperlink"/>
            <w:color w:val="auto"/>
            <w:lang w:val="pt-PT"/>
          </w:rPr>
          <w:t>Artigo II.25 — Cálculo do montante final da subvenção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_Toc446535915 \h </w:instrText>
        </w:r>
        <w:r w:rsidR="00B666F3" w:rsidRPr="00693CDB">
          <w:rPr>
            <w:webHidden/>
          </w:rPr>
        </w:r>
        <w:r w:rsidR="00B666F3" w:rsidRPr="00693CDB">
          <w:rPr>
            <w:webHidden/>
          </w:rPr>
          <w:fldChar w:fldCharType="separate"/>
        </w:r>
        <w:r w:rsidR="00B666F3" w:rsidRPr="00693CDB">
          <w:rPr>
            <w:webHidden/>
            <w:lang w:val="pt-PT"/>
          </w:rPr>
          <w:t>30</w:t>
        </w:r>
        <w:r w:rsidR="00B666F3" w:rsidRPr="00693CDB">
          <w:rPr>
            <w:webHidden/>
          </w:rPr>
          <w:fldChar w:fldCharType="end"/>
        </w:r>
      </w:hyperlink>
    </w:p>
    <w:p w14:paraId="245B1531" w14:textId="3DB03A56" w:rsidR="007A392C" w:rsidRPr="00693CDB" w:rsidRDefault="00693CDB">
      <w:pPr>
        <w:pStyle w:val="TOC3"/>
        <w:tabs>
          <w:tab w:val="left" w:pos="2880"/>
        </w:tabs>
        <w:rPr>
          <w:szCs w:val="24"/>
          <w:lang w:val="pt-PT"/>
        </w:rPr>
      </w:pPr>
      <w:hyperlink w:anchor="_Toc446535916" w:history="1">
        <w:r w:rsidR="00B666F3" w:rsidRPr="00693CDB">
          <w:rPr>
            <w:rStyle w:val="Hyperlink"/>
            <w:color w:val="auto"/>
            <w:lang w:val="pt-PT"/>
          </w:rPr>
          <w:t>II.25.1</w:t>
        </w:r>
        <w:r w:rsidR="00B666F3" w:rsidRPr="00693CDB">
          <w:rPr>
            <w:lang w:val="pt-PT"/>
          </w:rPr>
          <w:tab/>
        </w:r>
        <w:r w:rsidR="00B666F3" w:rsidRPr="00693CDB">
          <w:rPr>
            <w:rStyle w:val="Hyperlink"/>
            <w:color w:val="auto"/>
            <w:lang w:val="pt-PT"/>
          </w:rPr>
          <w:t xml:space="preserve"> Passo 1 — Aplicar a taxa de reembolso aos custos elegíveis e acrescentar as contribuições unitárias, de taxa fixa e de montante fixo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_Toc446535916 \h </w:instrText>
        </w:r>
        <w:r w:rsidR="00B666F3" w:rsidRPr="00693CDB">
          <w:rPr>
            <w:webHidden/>
          </w:rPr>
        </w:r>
        <w:r w:rsidR="00B666F3" w:rsidRPr="00693CDB">
          <w:rPr>
            <w:webHidden/>
          </w:rPr>
          <w:fldChar w:fldCharType="separate"/>
        </w:r>
        <w:r w:rsidR="00B666F3" w:rsidRPr="00693CDB">
          <w:rPr>
            <w:webHidden/>
            <w:lang w:val="pt-PT"/>
          </w:rPr>
          <w:t>30</w:t>
        </w:r>
        <w:r w:rsidR="00B666F3" w:rsidRPr="00693CDB">
          <w:rPr>
            <w:webHidden/>
          </w:rPr>
          <w:fldChar w:fldCharType="end"/>
        </w:r>
      </w:hyperlink>
    </w:p>
    <w:p w14:paraId="5548ABD3" w14:textId="2CBABC5A" w:rsidR="007A392C" w:rsidRPr="00693CDB" w:rsidRDefault="00693CDB">
      <w:pPr>
        <w:pStyle w:val="TOC3"/>
        <w:tabs>
          <w:tab w:val="left" w:pos="2880"/>
        </w:tabs>
        <w:rPr>
          <w:szCs w:val="24"/>
          <w:lang w:val="pt-PT"/>
        </w:rPr>
      </w:pPr>
      <w:hyperlink w:anchor="_Toc446535917" w:history="1">
        <w:r w:rsidR="00B666F3" w:rsidRPr="00693CDB">
          <w:rPr>
            <w:rStyle w:val="Hyperlink"/>
            <w:color w:val="auto"/>
            <w:lang w:val="pt-PT"/>
          </w:rPr>
          <w:t>II.25.2</w:t>
        </w:r>
        <w:r w:rsidR="00B666F3" w:rsidRPr="00693CDB">
          <w:rPr>
            <w:lang w:val="pt-PT"/>
          </w:rPr>
          <w:tab/>
        </w:r>
        <w:r w:rsidR="00B666F3" w:rsidRPr="00693CDB">
          <w:rPr>
            <w:rStyle w:val="Hyperlink"/>
            <w:color w:val="auto"/>
            <w:lang w:val="pt-PT"/>
          </w:rPr>
          <w:t xml:space="preserve"> Passo 2 —Limite do </w:t>
        </w:r>
        <w:r w:rsidR="00B666F3" w:rsidRPr="00693CDB">
          <w:rPr>
            <w:rStyle w:val="Hyperlink"/>
            <w:i/>
            <w:color w:val="auto"/>
            <w:lang w:val="pt-PT"/>
          </w:rPr>
          <w:t xml:space="preserve"> montante máximo da subvenção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_Toc446535917 \h </w:instrText>
        </w:r>
        <w:r w:rsidR="00B666F3" w:rsidRPr="00693CDB">
          <w:rPr>
            <w:webHidden/>
          </w:rPr>
        </w:r>
        <w:r w:rsidR="00B666F3" w:rsidRPr="00693CDB">
          <w:rPr>
            <w:webHidden/>
          </w:rPr>
          <w:fldChar w:fldCharType="separate"/>
        </w:r>
        <w:r w:rsidR="00B666F3" w:rsidRPr="00693CDB">
          <w:rPr>
            <w:webHidden/>
            <w:lang w:val="pt-PT"/>
          </w:rPr>
          <w:t>31</w:t>
        </w:r>
        <w:r w:rsidR="00B666F3" w:rsidRPr="00693CDB">
          <w:rPr>
            <w:webHidden/>
          </w:rPr>
          <w:fldChar w:fldCharType="end"/>
        </w:r>
      </w:hyperlink>
    </w:p>
    <w:p w14:paraId="5FF4B23D" w14:textId="12D88AA3" w:rsidR="007A392C" w:rsidRPr="00693CDB" w:rsidRDefault="00693CDB">
      <w:pPr>
        <w:pStyle w:val="TOC3"/>
        <w:tabs>
          <w:tab w:val="left" w:pos="2880"/>
        </w:tabs>
        <w:rPr>
          <w:szCs w:val="24"/>
          <w:lang w:val="pt-PT"/>
        </w:rPr>
      </w:pPr>
      <w:hyperlink w:anchor="_Toc446535918" w:history="1">
        <w:r w:rsidR="00B666F3" w:rsidRPr="00693CDB">
          <w:rPr>
            <w:rStyle w:val="Hyperlink"/>
            <w:color w:val="auto"/>
            <w:lang w:val="pt-PT"/>
          </w:rPr>
          <w:t>II.25.3</w:t>
        </w:r>
        <w:r w:rsidR="00B666F3" w:rsidRPr="00693CDB">
          <w:rPr>
            <w:lang w:val="pt-PT"/>
          </w:rPr>
          <w:tab/>
        </w:r>
        <w:r w:rsidR="00B666F3" w:rsidRPr="00693CDB">
          <w:rPr>
            <w:rStyle w:val="Hyperlink"/>
            <w:color w:val="auto"/>
            <w:lang w:val="pt-PT"/>
          </w:rPr>
          <w:t xml:space="preserve"> Passo 3 — Aplicar a redução decorrente da regra de ausência de lucro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_Toc446535918 \h </w:instrText>
        </w:r>
        <w:r w:rsidR="00B666F3" w:rsidRPr="00693CDB">
          <w:rPr>
            <w:webHidden/>
          </w:rPr>
        </w:r>
        <w:r w:rsidR="00B666F3" w:rsidRPr="00693CDB">
          <w:rPr>
            <w:webHidden/>
          </w:rPr>
          <w:fldChar w:fldCharType="separate"/>
        </w:r>
        <w:r w:rsidR="00B666F3" w:rsidRPr="00693CDB">
          <w:rPr>
            <w:webHidden/>
            <w:lang w:val="pt-PT"/>
          </w:rPr>
          <w:t>32</w:t>
        </w:r>
        <w:r w:rsidR="00B666F3" w:rsidRPr="00693CDB">
          <w:rPr>
            <w:webHidden/>
          </w:rPr>
          <w:fldChar w:fldCharType="end"/>
        </w:r>
      </w:hyperlink>
    </w:p>
    <w:p w14:paraId="4966C047" w14:textId="184B3CB3" w:rsidR="007A392C" w:rsidRPr="00693CDB" w:rsidRDefault="00693CDB">
      <w:pPr>
        <w:pStyle w:val="TOC3"/>
        <w:tabs>
          <w:tab w:val="left" w:pos="2880"/>
        </w:tabs>
        <w:rPr>
          <w:szCs w:val="24"/>
          <w:lang w:val="pt-PT"/>
        </w:rPr>
      </w:pPr>
      <w:hyperlink w:anchor="_Toc446535919" w:history="1">
        <w:r w:rsidR="00B666F3" w:rsidRPr="00693CDB">
          <w:rPr>
            <w:rStyle w:val="Hyperlink"/>
            <w:color w:val="auto"/>
            <w:lang w:val="pt-PT"/>
          </w:rPr>
          <w:t>II.25.4</w:t>
        </w:r>
        <w:r w:rsidR="00B666F3" w:rsidRPr="00693CDB">
          <w:rPr>
            <w:lang w:val="pt-PT"/>
          </w:rPr>
          <w:tab/>
        </w:r>
        <w:r w:rsidR="00B666F3" w:rsidRPr="00693CDB">
          <w:rPr>
            <w:rStyle w:val="Hyperlink"/>
            <w:color w:val="auto"/>
            <w:lang w:val="pt-PT"/>
          </w:rPr>
          <w:t xml:space="preserve"> Passo 4 — Redução devido a execução incorreta ou incumprimento de outras obrigações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_Toc446535919 \h </w:instrText>
        </w:r>
        <w:r w:rsidR="00B666F3" w:rsidRPr="00693CDB">
          <w:rPr>
            <w:webHidden/>
          </w:rPr>
        </w:r>
        <w:r w:rsidR="00B666F3" w:rsidRPr="00693CDB">
          <w:rPr>
            <w:webHidden/>
          </w:rPr>
          <w:fldChar w:fldCharType="separate"/>
        </w:r>
        <w:r w:rsidR="00B666F3" w:rsidRPr="00693CDB">
          <w:rPr>
            <w:webHidden/>
            <w:lang w:val="pt-PT"/>
          </w:rPr>
          <w:t>33</w:t>
        </w:r>
        <w:r w:rsidR="00B666F3" w:rsidRPr="00693CDB">
          <w:rPr>
            <w:webHidden/>
          </w:rPr>
          <w:fldChar w:fldCharType="end"/>
        </w:r>
      </w:hyperlink>
    </w:p>
    <w:p w14:paraId="05EB2FC6" w14:textId="19645C52" w:rsidR="007A392C" w:rsidRPr="00693CDB" w:rsidRDefault="00693CDB">
      <w:pPr>
        <w:pStyle w:val="TOC2"/>
        <w:rPr>
          <w:szCs w:val="24"/>
          <w:lang w:val="pt-PT"/>
        </w:rPr>
      </w:pPr>
      <w:hyperlink w:anchor="_Toc446535920" w:history="1">
        <w:r w:rsidR="00B666F3" w:rsidRPr="00693CDB">
          <w:rPr>
            <w:rStyle w:val="Hyperlink"/>
            <w:color w:val="auto"/>
            <w:lang w:val="pt-PT"/>
          </w:rPr>
          <w:t>Artigo II.26 — Recuperação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_Toc446535920 \h </w:instrText>
        </w:r>
        <w:r w:rsidR="00B666F3" w:rsidRPr="00693CDB">
          <w:rPr>
            <w:webHidden/>
          </w:rPr>
        </w:r>
        <w:r w:rsidR="00B666F3" w:rsidRPr="00693CDB">
          <w:rPr>
            <w:webHidden/>
          </w:rPr>
          <w:fldChar w:fldCharType="separate"/>
        </w:r>
        <w:r w:rsidR="00B666F3" w:rsidRPr="00693CDB">
          <w:rPr>
            <w:webHidden/>
            <w:lang w:val="pt-PT"/>
          </w:rPr>
          <w:t>34</w:t>
        </w:r>
        <w:r w:rsidR="00B666F3" w:rsidRPr="00693CDB">
          <w:rPr>
            <w:webHidden/>
          </w:rPr>
          <w:fldChar w:fldCharType="end"/>
        </w:r>
      </w:hyperlink>
    </w:p>
    <w:p w14:paraId="2A947973" w14:textId="3A367F98" w:rsidR="007A392C" w:rsidRPr="00693CDB" w:rsidRDefault="00693CDB">
      <w:pPr>
        <w:pStyle w:val="TOC3"/>
        <w:tabs>
          <w:tab w:val="left" w:pos="2880"/>
        </w:tabs>
        <w:rPr>
          <w:rStyle w:val="Hyperlink"/>
          <w:bCs/>
          <w:color w:val="auto"/>
          <w:szCs w:val="24"/>
          <w:lang w:val="pt-PT"/>
        </w:rPr>
      </w:pPr>
      <w:hyperlink w:anchor="_Toc446535921" w:history="1">
        <w:r w:rsidR="00B666F3" w:rsidRPr="00693CDB">
          <w:rPr>
            <w:rStyle w:val="Hyperlink"/>
            <w:bCs/>
            <w:color w:val="auto"/>
            <w:lang w:val="pt-PT"/>
          </w:rPr>
          <w:t>II.26.1</w:t>
        </w:r>
        <w:r w:rsidR="00B666F3" w:rsidRPr="00693CDB">
          <w:rPr>
            <w:rStyle w:val="Hyperlink"/>
            <w:bCs/>
            <w:color w:val="auto"/>
            <w:lang w:val="pt-PT"/>
          </w:rPr>
          <w:tab/>
          <w:t>Recuperação</w:t>
        </w:r>
        <w:r w:rsidR="00B666F3" w:rsidRPr="00693CDB">
          <w:rPr>
            <w:rStyle w:val="Hyperlink"/>
            <w:bCs/>
            <w:color w:val="auto"/>
            <w:lang w:val="pt-PT"/>
          </w:rPr>
          <w:tab/>
        </w:r>
        <w:r w:rsidR="00B666F3" w:rsidRPr="00693CDB">
          <w:rPr>
            <w:rStyle w:val="Hyperlink"/>
            <w:bCs/>
            <w:webHidden/>
            <w:color w:val="auto"/>
            <w:lang w:val="pt-PT"/>
          </w:rPr>
          <w:tab/>
        </w:r>
        <w:r w:rsidR="00B666F3" w:rsidRPr="00693CDB">
          <w:rPr>
            <w:rStyle w:val="Hyperlink"/>
            <w:bCs/>
            <w:webHidden/>
            <w:color w:val="auto"/>
          </w:rPr>
          <w:fldChar w:fldCharType="begin"/>
        </w:r>
        <w:r w:rsidR="00B666F3" w:rsidRPr="00693CDB">
          <w:rPr>
            <w:rStyle w:val="Hyperlink"/>
            <w:bCs/>
            <w:webHidden/>
            <w:color w:val="auto"/>
            <w:lang w:val="pt-PT"/>
          </w:rPr>
          <w:instrText xml:space="preserve"> PAGEREF _Toc446535921 \h </w:instrText>
        </w:r>
        <w:r w:rsidR="00B666F3" w:rsidRPr="00693CDB">
          <w:rPr>
            <w:rStyle w:val="Hyperlink"/>
            <w:bCs/>
            <w:webHidden/>
            <w:color w:val="auto"/>
          </w:rPr>
        </w:r>
        <w:r w:rsidR="00B666F3" w:rsidRPr="00693CDB">
          <w:rPr>
            <w:rStyle w:val="Hyperlink"/>
            <w:bCs/>
            <w:webHidden/>
            <w:color w:val="auto"/>
          </w:rPr>
          <w:fldChar w:fldCharType="separate"/>
        </w:r>
        <w:r w:rsidR="00B666F3" w:rsidRPr="00693CDB">
          <w:rPr>
            <w:rStyle w:val="Hyperlink"/>
            <w:bCs/>
            <w:webHidden/>
            <w:color w:val="auto"/>
            <w:lang w:val="pt-PT"/>
          </w:rPr>
          <w:t>34</w:t>
        </w:r>
        <w:r w:rsidR="00B666F3" w:rsidRPr="00693CDB">
          <w:rPr>
            <w:rStyle w:val="Hyperlink"/>
            <w:bCs/>
            <w:webHidden/>
            <w:color w:val="auto"/>
          </w:rPr>
          <w:fldChar w:fldCharType="end"/>
        </w:r>
      </w:hyperlink>
    </w:p>
    <w:p w14:paraId="1D04054D" w14:textId="57C9C0D6" w:rsidR="007A392C" w:rsidRPr="00693CDB" w:rsidRDefault="00693CDB">
      <w:pPr>
        <w:pStyle w:val="TOC3"/>
        <w:tabs>
          <w:tab w:val="left" w:pos="2880"/>
        </w:tabs>
        <w:rPr>
          <w:szCs w:val="24"/>
          <w:lang w:val="pt-PT"/>
        </w:rPr>
      </w:pPr>
      <w:hyperlink w:anchor="_Toc446535921" w:history="1">
        <w:r w:rsidR="00B666F3" w:rsidRPr="00693CDB">
          <w:rPr>
            <w:rStyle w:val="Hyperlink"/>
            <w:bCs/>
            <w:color w:val="auto"/>
            <w:lang w:val="pt-PT"/>
          </w:rPr>
          <w:t>II.26.2</w:t>
        </w:r>
        <w:r w:rsidR="00B666F3" w:rsidRPr="00693CDB">
          <w:rPr>
            <w:lang w:val="pt-PT"/>
          </w:rPr>
          <w:tab/>
        </w:r>
        <w:r w:rsidR="00B666F3" w:rsidRPr="00693CDB">
          <w:rPr>
            <w:rStyle w:val="Hyperlink"/>
            <w:color w:val="auto"/>
            <w:lang w:val="pt-PT"/>
          </w:rPr>
          <w:t>Procedimento de recuperação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_Toc446535921 \h </w:instrText>
        </w:r>
        <w:r w:rsidR="00B666F3" w:rsidRPr="00693CDB">
          <w:rPr>
            <w:webHidden/>
          </w:rPr>
        </w:r>
        <w:r w:rsidR="00B666F3" w:rsidRPr="00693CDB">
          <w:rPr>
            <w:webHidden/>
          </w:rPr>
          <w:fldChar w:fldCharType="separate"/>
        </w:r>
        <w:r w:rsidR="00B666F3" w:rsidRPr="00693CDB">
          <w:rPr>
            <w:webHidden/>
            <w:lang w:val="pt-PT"/>
          </w:rPr>
          <w:t>34</w:t>
        </w:r>
        <w:r w:rsidR="00B666F3" w:rsidRPr="00693CDB">
          <w:rPr>
            <w:webHidden/>
          </w:rPr>
          <w:fldChar w:fldCharType="end"/>
        </w:r>
      </w:hyperlink>
    </w:p>
    <w:p w14:paraId="3E4C0A41" w14:textId="71F7AAAE" w:rsidR="007A392C" w:rsidRPr="00693CDB" w:rsidRDefault="00693CDB">
      <w:pPr>
        <w:pStyle w:val="TOC3"/>
        <w:tabs>
          <w:tab w:val="left" w:pos="2880"/>
        </w:tabs>
        <w:rPr>
          <w:szCs w:val="24"/>
          <w:lang w:val="pt-PT"/>
        </w:rPr>
      </w:pPr>
      <w:hyperlink w:anchor="_Toc446535922" w:history="1">
        <w:r w:rsidR="00B666F3" w:rsidRPr="00693CDB">
          <w:rPr>
            <w:rStyle w:val="Hyperlink"/>
            <w:color w:val="auto"/>
            <w:lang w:val="pt-PT"/>
          </w:rPr>
          <w:t>II.26.3</w:t>
        </w:r>
        <w:r w:rsidR="00B666F3" w:rsidRPr="00693CDB">
          <w:rPr>
            <w:lang w:val="pt-PT"/>
          </w:rPr>
          <w:tab/>
        </w:r>
        <w:r w:rsidR="00B666F3" w:rsidRPr="00693CDB">
          <w:rPr>
            <w:rStyle w:val="Hyperlink"/>
            <w:color w:val="auto"/>
            <w:lang w:val="pt-PT"/>
          </w:rPr>
          <w:t>Juros de mora</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_Toc446535922 \h </w:instrText>
        </w:r>
        <w:r w:rsidR="00B666F3" w:rsidRPr="00693CDB">
          <w:rPr>
            <w:webHidden/>
          </w:rPr>
        </w:r>
        <w:r w:rsidR="00B666F3" w:rsidRPr="00693CDB">
          <w:rPr>
            <w:webHidden/>
          </w:rPr>
          <w:fldChar w:fldCharType="separate"/>
        </w:r>
        <w:r w:rsidR="00B666F3" w:rsidRPr="00693CDB">
          <w:rPr>
            <w:webHidden/>
            <w:lang w:val="pt-PT"/>
          </w:rPr>
          <w:t>35</w:t>
        </w:r>
        <w:r w:rsidR="00B666F3" w:rsidRPr="00693CDB">
          <w:rPr>
            <w:webHidden/>
          </w:rPr>
          <w:fldChar w:fldCharType="end"/>
        </w:r>
      </w:hyperlink>
    </w:p>
    <w:p w14:paraId="06322AB2" w14:textId="455BC65A" w:rsidR="007A392C" w:rsidRPr="00693CDB" w:rsidRDefault="00693CDB">
      <w:pPr>
        <w:pStyle w:val="TOC3"/>
        <w:tabs>
          <w:tab w:val="left" w:pos="2880"/>
        </w:tabs>
        <w:rPr>
          <w:szCs w:val="24"/>
          <w:lang w:val="pt-PT"/>
        </w:rPr>
      </w:pPr>
      <w:hyperlink w:anchor="_Toc446535923" w:history="1">
        <w:r w:rsidR="00B666F3" w:rsidRPr="00693CDB">
          <w:rPr>
            <w:rStyle w:val="Hyperlink"/>
            <w:color w:val="auto"/>
            <w:lang w:val="pt-PT"/>
          </w:rPr>
          <w:t>II.26.4</w:t>
        </w:r>
        <w:r w:rsidR="00B666F3" w:rsidRPr="00693CDB">
          <w:rPr>
            <w:lang w:val="pt-PT"/>
          </w:rPr>
          <w:tab/>
        </w:r>
        <w:r w:rsidR="00B666F3" w:rsidRPr="00693CDB">
          <w:rPr>
            <w:rStyle w:val="Hyperlink"/>
            <w:color w:val="auto"/>
            <w:lang w:val="pt-PT"/>
          </w:rPr>
          <w:t>Encargos bancários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_Toc446535923 \h </w:instrText>
        </w:r>
        <w:r w:rsidR="00B666F3" w:rsidRPr="00693CDB">
          <w:rPr>
            <w:webHidden/>
          </w:rPr>
        </w:r>
        <w:r w:rsidR="00B666F3" w:rsidRPr="00693CDB">
          <w:rPr>
            <w:webHidden/>
          </w:rPr>
          <w:fldChar w:fldCharType="separate"/>
        </w:r>
        <w:r w:rsidR="00B666F3" w:rsidRPr="00693CDB">
          <w:rPr>
            <w:webHidden/>
            <w:lang w:val="pt-PT"/>
          </w:rPr>
          <w:t>35</w:t>
        </w:r>
        <w:r w:rsidR="00B666F3" w:rsidRPr="00693CDB">
          <w:rPr>
            <w:webHidden/>
          </w:rPr>
          <w:fldChar w:fldCharType="end"/>
        </w:r>
      </w:hyperlink>
    </w:p>
    <w:p w14:paraId="4D9CA24A" w14:textId="4E50FAD1" w:rsidR="007A392C" w:rsidRPr="00693CDB" w:rsidRDefault="00693CDB">
      <w:pPr>
        <w:pStyle w:val="TOC2"/>
        <w:rPr>
          <w:szCs w:val="24"/>
          <w:lang w:val="pt-PT"/>
        </w:rPr>
      </w:pPr>
      <w:hyperlink w:anchor="_Toc446535924" w:history="1">
        <w:r w:rsidR="00B666F3" w:rsidRPr="00693CDB">
          <w:rPr>
            <w:rStyle w:val="Hyperlink"/>
            <w:color w:val="auto"/>
            <w:lang w:val="pt-PT"/>
          </w:rPr>
          <w:t>Artigo II.27 — Verificações, auditorias e avaliação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_Toc446535924 \h </w:instrText>
        </w:r>
        <w:r w:rsidR="00B666F3" w:rsidRPr="00693CDB">
          <w:rPr>
            <w:webHidden/>
          </w:rPr>
        </w:r>
        <w:r w:rsidR="00B666F3" w:rsidRPr="00693CDB">
          <w:rPr>
            <w:webHidden/>
          </w:rPr>
          <w:fldChar w:fldCharType="separate"/>
        </w:r>
        <w:r w:rsidR="00B666F3" w:rsidRPr="00693CDB">
          <w:rPr>
            <w:webHidden/>
            <w:lang w:val="pt-PT"/>
          </w:rPr>
          <w:t>35</w:t>
        </w:r>
        <w:r w:rsidR="00B666F3" w:rsidRPr="00693CDB">
          <w:rPr>
            <w:webHidden/>
          </w:rPr>
          <w:fldChar w:fldCharType="end"/>
        </w:r>
      </w:hyperlink>
    </w:p>
    <w:p w14:paraId="0D0AD07F" w14:textId="13B311D9" w:rsidR="007A392C" w:rsidRPr="00693CDB" w:rsidRDefault="00693CDB">
      <w:pPr>
        <w:pStyle w:val="TOC3"/>
        <w:tabs>
          <w:tab w:val="left" w:pos="2880"/>
        </w:tabs>
        <w:rPr>
          <w:szCs w:val="24"/>
          <w:lang w:val="pt-PT"/>
        </w:rPr>
      </w:pPr>
      <w:hyperlink w:anchor="_Toc446535925" w:history="1">
        <w:r w:rsidR="00B666F3" w:rsidRPr="00693CDB">
          <w:rPr>
            <w:rStyle w:val="Hyperlink"/>
            <w:color w:val="auto"/>
            <w:lang w:val="pt-PT"/>
          </w:rPr>
          <w:t>II.27.1</w:t>
        </w:r>
        <w:r w:rsidR="00B666F3" w:rsidRPr="00693CDB">
          <w:rPr>
            <w:lang w:val="pt-PT"/>
          </w:rPr>
          <w:tab/>
        </w:r>
        <w:r w:rsidR="00B666F3" w:rsidRPr="00693CDB">
          <w:rPr>
            <w:rStyle w:val="Hyperlink"/>
            <w:color w:val="auto"/>
            <w:lang w:val="pt-PT"/>
          </w:rPr>
          <w:t>Verificações técnicas e financeiras, auditorias e avaliações intercalares e finais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_Toc446535925 \h </w:instrText>
        </w:r>
        <w:r w:rsidR="00B666F3" w:rsidRPr="00693CDB">
          <w:rPr>
            <w:webHidden/>
          </w:rPr>
        </w:r>
        <w:r w:rsidR="00B666F3" w:rsidRPr="00693CDB">
          <w:rPr>
            <w:webHidden/>
          </w:rPr>
          <w:fldChar w:fldCharType="separate"/>
        </w:r>
        <w:r w:rsidR="00B666F3" w:rsidRPr="00693CDB">
          <w:rPr>
            <w:webHidden/>
            <w:lang w:val="pt-PT"/>
          </w:rPr>
          <w:t>35</w:t>
        </w:r>
        <w:r w:rsidR="00B666F3" w:rsidRPr="00693CDB">
          <w:rPr>
            <w:webHidden/>
          </w:rPr>
          <w:fldChar w:fldCharType="end"/>
        </w:r>
      </w:hyperlink>
    </w:p>
    <w:p w14:paraId="72ED42EB" w14:textId="57C07737" w:rsidR="007A392C" w:rsidRPr="00693CDB" w:rsidRDefault="00693CDB">
      <w:pPr>
        <w:pStyle w:val="TOC3"/>
        <w:rPr>
          <w:szCs w:val="24"/>
          <w:lang w:val="pt-PT"/>
        </w:rPr>
      </w:pPr>
      <w:hyperlink w:anchor="_Toc446535926" w:history="1">
        <w:r w:rsidR="00B666F3" w:rsidRPr="00693CDB">
          <w:rPr>
            <w:rStyle w:val="Hyperlink"/>
            <w:color w:val="auto"/>
            <w:lang w:val="pt-PT"/>
          </w:rPr>
          <w:t>II.27.2 Dever de guardar a documentação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_Toc446535926 \h </w:instrText>
        </w:r>
        <w:r w:rsidR="00B666F3" w:rsidRPr="00693CDB">
          <w:rPr>
            <w:webHidden/>
          </w:rPr>
        </w:r>
        <w:r w:rsidR="00B666F3" w:rsidRPr="00693CDB">
          <w:rPr>
            <w:webHidden/>
          </w:rPr>
          <w:fldChar w:fldCharType="separate"/>
        </w:r>
        <w:r w:rsidR="00B666F3" w:rsidRPr="00693CDB">
          <w:rPr>
            <w:webHidden/>
            <w:lang w:val="pt-PT"/>
          </w:rPr>
          <w:t>36</w:t>
        </w:r>
        <w:r w:rsidR="00B666F3" w:rsidRPr="00693CDB">
          <w:rPr>
            <w:webHidden/>
          </w:rPr>
          <w:fldChar w:fldCharType="end"/>
        </w:r>
      </w:hyperlink>
    </w:p>
    <w:p w14:paraId="132D26B6" w14:textId="0DAA5A77" w:rsidR="007A392C" w:rsidRPr="00693CDB" w:rsidRDefault="00693CDB">
      <w:pPr>
        <w:pStyle w:val="TOC3"/>
        <w:rPr>
          <w:szCs w:val="24"/>
          <w:lang w:val="pt-PT"/>
        </w:rPr>
      </w:pPr>
      <w:hyperlink w:anchor="_Toc446535927" w:history="1">
        <w:r w:rsidR="00B666F3" w:rsidRPr="00693CDB">
          <w:rPr>
            <w:rStyle w:val="Hyperlink"/>
            <w:color w:val="auto"/>
            <w:lang w:val="pt-PT"/>
          </w:rPr>
          <w:t>II.27.3 Obrigação de prestar informações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_Toc446535927 \h </w:instrText>
        </w:r>
        <w:r w:rsidR="00B666F3" w:rsidRPr="00693CDB">
          <w:rPr>
            <w:webHidden/>
          </w:rPr>
        </w:r>
        <w:r w:rsidR="00B666F3" w:rsidRPr="00693CDB">
          <w:rPr>
            <w:webHidden/>
          </w:rPr>
          <w:fldChar w:fldCharType="separate"/>
        </w:r>
        <w:r w:rsidR="00B666F3" w:rsidRPr="00693CDB">
          <w:rPr>
            <w:webHidden/>
            <w:lang w:val="pt-PT"/>
          </w:rPr>
          <w:t>36</w:t>
        </w:r>
        <w:r w:rsidR="00B666F3" w:rsidRPr="00693CDB">
          <w:rPr>
            <w:webHidden/>
          </w:rPr>
          <w:fldChar w:fldCharType="end"/>
        </w:r>
      </w:hyperlink>
    </w:p>
    <w:p w14:paraId="4632D8FA" w14:textId="5B5D46C5" w:rsidR="007A392C" w:rsidRPr="00693CDB" w:rsidRDefault="00693CDB">
      <w:pPr>
        <w:pStyle w:val="TOC3"/>
        <w:tabs>
          <w:tab w:val="left" w:pos="2880"/>
        </w:tabs>
        <w:rPr>
          <w:szCs w:val="24"/>
          <w:lang w:val="pt-PT"/>
        </w:rPr>
      </w:pPr>
      <w:hyperlink w:anchor="_Toc446535928" w:history="1">
        <w:r w:rsidR="00B666F3" w:rsidRPr="00693CDB">
          <w:rPr>
            <w:rStyle w:val="Hyperlink"/>
            <w:color w:val="auto"/>
            <w:lang w:val="pt-PT"/>
          </w:rPr>
          <w:t>II.27.4</w:t>
        </w:r>
        <w:r w:rsidR="00B666F3" w:rsidRPr="00693CDB">
          <w:rPr>
            <w:lang w:val="pt-PT"/>
          </w:rPr>
          <w:tab/>
        </w:r>
        <w:r w:rsidR="00B666F3" w:rsidRPr="00693CDB">
          <w:rPr>
            <w:rStyle w:val="Hyperlink"/>
            <w:color w:val="auto"/>
            <w:lang w:val="pt-PT"/>
          </w:rPr>
          <w:t>Visitas no local</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_Toc446535928 \h </w:instrText>
        </w:r>
        <w:r w:rsidR="00B666F3" w:rsidRPr="00693CDB">
          <w:rPr>
            <w:webHidden/>
          </w:rPr>
        </w:r>
        <w:r w:rsidR="00B666F3" w:rsidRPr="00693CDB">
          <w:rPr>
            <w:webHidden/>
          </w:rPr>
          <w:fldChar w:fldCharType="separate"/>
        </w:r>
        <w:r w:rsidR="00B666F3" w:rsidRPr="00693CDB">
          <w:rPr>
            <w:webHidden/>
            <w:lang w:val="pt-PT"/>
          </w:rPr>
          <w:t>36</w:t>
        </w:r>
        <w:r w:rsidR="00B666F3" w:rsidRPr="00693CDB">
          <w:rPr>
            <w:webHidden/>
          </w:rPr>
          <w:fldChar w:fldCharType="end"/>
        </w:r>
      </w:hyperlink>
    </w:p>
    <w:p w14:paraId="27BAC5E4" w14:textId="2470CE9B" w:rsidR="007A392C" w:rsidRPr="00693CDB" w:rsidRDefault="00693CDB">
      <w:pPr>
        <w:pStyle w:val="TOC3"/>
        <w:tabs>
          <w:tab w:val="left" w:pos="2880"/>
        </w:tabs>
        <w:rPr>
          <w:szCs w:val="24"/>
          <w:lang w:val="pt-PT"/>
        </w:rPr>
      </w:pPr>
      <w:hyperlink w:anchor="_Toc446535929" w:history="1">
        <w:r w:rsidR="00B666F3" w:rsidRPr="00693CDB">
          <w:rPr>
            <w:rStyle w:val="Hyperlink"/>
            <w:color w:val="auto"/>
            <w:lang w:val="pt-PT"/>
          </w:rPr>
          <w:t>II.27.5</w:t>
        </w:r>
        <w:r w:rsidR="00B666F3" w:rsidRPr="00693CDB">
          <w:rPr>
            <w:lang w:val="pt-PT"/>
          </w:rPr>
          <w:tab/>
        </w:r>
        <w:r w:rsidR="00B666F3" w:rsidRPr="00693CDB">
          <w:rPr>
            <w:rStyle w:val="Hyperlink"/>
            <w:color w:val="auto"/>
            <w:lang w:val="pt-PT"/>
          </w:rPr>
          <w:t>Procedimento de auditoria com contraditório</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_Toc446535929 \h </w:instrText>
        </w:r>
        <w:r w:rsidR="00B666F3" w:rsidRPr="00693CDB">
          <w:rPr>
            <w:webHidden/>
          </w:rPr>
        </w:r>
        <w:r w:rsidR="00B666F3" w:rsidRPr="00693CDB">
          <w:rPr>
            <w:webHidden/>
          </w:rPr>
          <w:fldChar w:fldCharType="separate"/>
        </w:r>
        <w:r w:rsidR="00B666F3" w:rsidRPr="00693CDB">
          <w:rPr>
            <w:webHidden/>
            <w:lang w:val="pt-PT"/>
          </w:rPr>
          <w:t>37</w:t>
        </w:r>
        <w:r w:rsidR="00B666F3" w:rsidRPr="00693CDB">
          <w:rPr>
            <w:webHidden/>
          </w:rPr>
          <w:fldChar w:fldCharType="end"/>
        </w:r>
      </w:hyperlink>
    </w:p>
    <w:p w14:paraId="434671DA" w14:textId="16B2DE63" w:rsidR="007A392C" w:rsidRPr="00693CDB" w:rsidRDefault="00693CDB">
      <w:pPr>
        <w:pStyle w:val="TOC3"/>
        <w:rPr>
          <w:szCs w:val="24"/>
          <w:lang w:val="pt-PT"/>
        </w:rPr>
      </w:pPr>
      <w:hyperlink w:anchor="_Toc446535930" w:history="1">
        <w:r w:rsidR="00B666F3" w:rsidRPr="00693CDB">
          <w:rPr>
            <w:rStyle w:val="Hyperlink"/>
            <w:color w:val="auto"/>
            <w:lang w:val="pt-PT"/>
          </w:rPr>
          <w:t>II.27.6 Efeitos das conclusões da auditoria</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_Toc446535930 \h </w:instrText>
        </w:r>
        <w:r w:rsidR="00B666F3" w:rsidRPr="00693CDB">
          <w:rPr>
            <w:webHidden/>
          </w:rPr>
        </w:r>
        <w:r w:rsidR="00B666F3" w:rsidRPr="00693CDB">
          <w:rPr>
            <w:webHidden/>
          </w:rPr>
          <w:fldChar w:fldCharType="separate"/>
        </w:r>
        <w:r w:rsidR="00B666F3" w:rsidRPr="00693CDB">
          <w:rPr>
            <w:webHidden/>
            <w:lang w:val="pt-PT"/>
          </w:rPr>
          <w:t>37</w:t>
        </w:r>
        <w:r w:rsidR="00B666F3" w:rsidRPr="00693CDB">
          <w:rPr>
            <w:webHidden/>
          </w:rPr>
          <w:fldChar w:fldCharType="end"/>
        </w:r>
      </w:hyperlink>
    </w:p>
    <w:p w14:paraId="008A909D" w14:textId="670A39C7" w:rsidR="007A392C" w:rsidRPr="00693CDB" w:rsidRDefault="00693CDB">
      <w:pPr>
        <w:pStyle w:val="TOC3"/>
        <w:rPr>
          <w:szCs w:val="24"/>
          <w:lang w:val="pt-PT"/>
        </w:rPr>
      </w:pPr>
      <w:hyperlink w:anchor="_Toc446535931" w:history="1">
        <w:r w:rsidR="00B666F3" w:rsidRPr="00693CDB">
          <w:rPr>
            <w:rStyle w:val="Hyperlink"/>
            <w:color w:val="auto"/>
            <w:lang w:val="pt-PT"/>
          </w:rPr>
          <w:t>II.27.7 Correção de erros sistémicos ou recorrentes, irregularidades, fraude ou incumprimento das obrigações</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_Toc446535931 \h </w:instrText>
        </w:r>
        <w:r w:rsidR="00B666F3" w:rsidRPr="00693CDB">
          <w:rPr>
            <w:webHidden/>
          </w:rPr>
        </w:r>
        <w:r w:rsidR="00B666F3" w:rsidRPr="00693CDB">
          <w:rPr>
            <w:webHidden/>
          </w:rPr>
          <w:fldChar w:fldCharType="separate"/>
        </w:r>
        <w:r w:rsidR="00B666F3" w:rsidRPr="00693CDB">
          <w:rPr>
            <w:webHidden/>
            <w:lang w:val="pt-PT"/>
          </w:rPr>
          <w:t>37</w:t>
        </w:r>
        <w:r w:rsidR="00B666F3" w:rsidRPr="00693CDB">
          <w:rPr>
            <w:webHidden/>
          </w:rPr>
          <w:fldChar w:fldCharType="end"/>
        </w:r>
      </w:hyperlink>
    </w:p>
    <w:p w14:paraId="5EDA9766" w14:textId="0E5781E1" w:rsidR="007A392C" w:rsidRPr="00693CDB" w:rsidRDefault="00693CDB">
      <w:pPr>
        <w:pStyle w:val="TOC3"/>
        <w:tabs>
          <w:tab w:val="left" w:pos="2880"/>
        </w:tabs>
        <w:rPr>
          <w:szCs w:val="24"/>
          <w:lang w:val="pt-PT"/>
        </w:rPr>
      </w:pPr>
      <w:hyperlink w:anchor="_Toc446535932" w:history="1">
        <w:r w:rsidR="00B666F3" w:rsidRPr="00693CDB">
          <w:rPr>
            <w:rStyle w:val="Hyperlink"/>
            <w:color w:val="auto"/>
            <w:lang w:val="pt-PT"/>
          </w:rPr>
          <w:t>II.27.8</w:t>
        </w:r>
        <w:r w:rsidR="00B666F3" w:rsidRPr="00693CDB">
          <w:rPr>
            <w:lang w:val="pt-PT"/>
          </w:rPr>
          <w:tab/>
        </w:r>
        <w:r w:rsidR="00B666F3" w:rsidRPr="00693CDB">
          <w:rPr>
            <w:rStyle w:val="Hyperlink"/>
            <w:color w:val="auto"/>
            <w:lang w:val="pt-PT"/>
          </w:rPr>
          <w:t>Verificações e inspeções pelo OLAF</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_Toc446535932 \h </w:instrText>
        </w:r>
        <w:r w:rsidR="00B666F3" w:rsidRPr="00693CDB">
          <w:rPr>
            <w:webHidden/>
          </w:rPr>
        </w:r>
        <w:r w:rsidR="00B666F3" w:rsidRPr="00693CDB">
          <w:rPr>
            <w:webHidden/>
          </w:rPr>
          <w:fldChar w:fldCharType="separate"/>
        </w:r>
        <w:r w:rsidR="00B666F3" w:rsidRPr="00693CDB">
          <w:rPr>
            <w:webHidden/>
            <w:lang w:val="pt-PT"/>
          </w:rPr>
          <w:t>39</w:t>
        </w:r>
        <w:r w:rsidR="00B666F3" w:rsidRPr="00693CDB">
          <w:rPr>
            <w:webHidden/>
          </w:rPr>
          <w:fldChar w:fldCharType="end"/>
        </w:r>
      </w:hyperlink>
    </w:p>
    <w:p w14:paraId="02EEFF06" w14:textId="4E1E4E82" w:rsidR="007A392C" w:rsidRPr="002D2FDF" w:rsidRDefault="00693CDB">
      <w:pPr>
        <w:pStyle w:val="TOC3"/>
        <w:tabs>
          <w:tab w:val="left" w:pos="2880"/>
        </w:tabs>
        <w:rPr>
          <w:szCs w:val="24"/>
          <w:lang w:val="pt-PT"/>
        </w:rPr>
      </w:pPr>
      <w:hyperlink w:anchor="_Toc446535933" w:history="1">
        <w:r w:rsidR="00B666F3" w:rsidRPr="00693CDB">
          <w:rPr>
            <w:rStyle w:val="Hyperlink"/>
            <w:color w:val="auto"/>
            <w:lang w:val="pt-PT"/>
          </w:rPr>
          <w:t>II.27.9</w:t>
        </w:r>
        <w:r w:rsidR="00B666F3" w:rsidRPr="00693CDB">
          <w:rPr>
            <w:lang w:val="pt-PT"/>
          </w:rPr>
          <w:tab/>
        </w:r>
        <w:r w:rsidR="00B666F3" w:rsidRPr="00693CDB">
          <w:rPr>
            <w:rStyle w:val="Hyperlink"/>
            <w:color w:val="auto"/>
            <w:lang w:val="pt-PT"/>
          </w:rPr>
          <w:t>Verificações e auditorias pelo Tribunal de Contas Europeu</w:t>
        </w:r>
        <w:r w:rsidR="00B666F3" w:rsidRPr="00693CDB">
          <w:rPr>
            <w:webHidden/>
            <w:lang w:val="pt-PT"/>
          </w:rPr>
          <w:tab/>
        </w:r>
        <w:r w:rsidR="00B666F3" w:rsidRPr="00693CDB">
          <w:rPr>
            <w:webHidden/>
          </w:rPr>
          <w:fldChar w:fldCharType="begin"/>
        </w:r>
        <w:r w:rsidR="00B666F3" w:rsidRPr="00693CDB">
          <w:rPr>
            <w:webHidden/>
            <w:lang w:val="pt-PT"/>
          </w:rPr>
          <w:instrText xml:space="preserve"> PAGEREF _Toc446535933 \h </w:instrText>
        </w:r>
        <w:r w:rsidR="00B666F3" w:rsidRPr="00693CDB">
          <w:rPr>
            <w:webHidden/>
          </w:rPr>
        </w:r>
        <w:r w:rsidR="00B666F3" w:rsidRPr="00693CDB">
          <w:rPr>
            <w:webHidden/>
          </w:rPr>
          <w:fldChar w:fldCharType="separate"/>
        </w:r>
        <w:r w:rsidR="00B666F3" w:rsidRPr="00693CDB">
          <w:rPr>
            <w:webHidden/>
            <w:lang w:val="pt-PT"/>
          </w:rPr>
          <w:t>40</w:t>
        </w:r>
        <w:r w:rsidR="00B666F3" w:rsidRPr="00693CDB">
          <w:rPr>
            <w:webHidden/>
          </w:rPr>
          <w:fldChar w:fldCharType="end"/>
        </w:r>
      </w:hyperlink>
    </w:p>
    <w:p w14:paraId="25BA3564" w14:textId="791CD858" w:rsidR="007A392C" w:rsidRPr="002D2FDF" w:rsidRDefault="00DF48E8">
      <w:pPr>
        <w:pStyle w:val="Heading1"/>
        <w:rPr>
          <w:rFonts w:ascii="Times New Roman" w:hAnsi="Times New Roman"/>
          <w:lang w:val="pt-PT"/>
        </w:rPr>
      </w:pPr>
      <w:r w:rsidRPr="002D2FDF">
        <w:rPr>
          <w:rFonts w:ascii="Times New Roman" w:hAnsi="Times New Roman"/>
          <w:lang w:val="pt-PT"/>
        </w:rPr>
        <w:br w:type="page"/>
        <w:t>PARTE A — DISPOSIÇÕES JURÍDICAS E ADMINISTRATIVAS</w:t>
      </w:r>
      <w:bookmarkEnd w:id="0"/>
      <w:bookmarkEnd w:id="1"/>
    </w:p>
    <w:p w14:paraId="739EF73F" w14:textId="40F1EB70" w:rsidR="007A392C" w:rsidRPr="002D2FDF" w:rsidRDefault="00851C95">
      <w:pPr>
        <w:pStyle w:val="Heading2"/>
        <w:rPr>
          <w:rFonts w:ascii="Times New Roman" w:hAnsi="Times New Roman"/>
          <w:lang w:val="pt-PT"/>
        </w:rPr>
      </w:pPr>
      <w:bookmarkStart w:id="2" w:name="_Toc441250817"/>
      <w:bookmarkStart w:id="3" w:name="_Toc446535863"/>
      <w:r w:rsidRPr="002D2FDF">
        <w:rPr>
          <w:rFonts w:ascii="Times New Roman" w:hAnsi="Times New Roman"/>
          <w:lang w:val="pt-PT"/>
        </w:rPr>
        <w:t>Artigo II.1 — Definições</w:t>
      </w:r>
      <w:bookmarkEnd w:id="2"/>
      <w:bookmarkEnd w:id="3"/>
    </w:p>
    <w:p w14:paraId="34802C64"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Para efeitos da presente convenção, são aplicáveis as seguintes definições:</w:t>
      </w:r>
    </w:p>
    <w:p w14:paraId="3433BF96" w14:textId="790061B3"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b/>
          <w:lang w:val="pt-PT"/>
        </w:rPr>
        <w:t>«Ação»</w:t>
      </w:r>
      <w:r w:rsidRPr="002D2FDF">
        <w:rPr>
          <w:rFonts w:ascii="Times New Roman" w:hAnsi="Times New Roman"/>
          <w:lang w:val="pt-PT"/>
        </w:rPr>
        <w:t>:</w:t>
      </w:r>
      <w:r w:rsidRPr="002D2FDF">
        <w:rPr>
          <w:rFonts w:ascii="Times New Roman" w:hAnsi="Times New Roman"/>
          <w:b/>
          <w:lang w:val="pt-PT"/>
        </w:rPr>
        <w:t xml:space="preserve"> </w:t>
      </w:r>
      <w:r w:rsidRPr="002D2FDF">
        <w:rPr>
          <w:rFonts w:ascii="Times New Roman" w:hAnsi="Times New Roman"/>
          <w:lang w:val="pt-PT"/>
        </w:rPr>
        <w:t>o</w:t>
      </w:r>
      <w:r w:rsidRPr="002D2FDF">
        <w:rPr>
          <w:rFonts w:ascii="Times New Roman" w:hAnsi="Times New Roman"/>
          <w:b/>
          <w:lang w:val="pt-PT"/>
        </w:rPr>
        <w:t xml:space="preserve"> </w:t>
      </w:r>
      <w:r w:rsidRPr="002D2FDF">
        <w:rPr>
          <w:rFonts w:ascii="Times New Roman" w:hAnsi="Times New Roman"/>
          <w:lang w:val="pt-PT"/>
        </w:rPr>
        <w:t>conjunto de atividades ou o projeto para o qual a subvenção é concedida, a executar pelo beneficiário, conforme descrito no anexo II;</w:t>
      </w:r>
    </w:p>
    <w:p w14:paraId="1EB103E8" w14:textId="4078A18E" w:rsidR="007A392C" w:rsidRPr="002D2FDF" w:rsidRDefault="00511E7C">
      <w:pPr>
        <w:spacing w:before="100" w:beforeAutospacing="1" w:after="100" w:afterAutospacing="1" w:line="240" w:lineRule="auto"/>
        <w:jc w:val="both"/>
        <w:rPr>
          <w:sz w:val="28"/>
          <w:szCs w:val="24"/>
          <w:lang w:val="pt-PT"/>
        </w:rPr>
      </w:pPr>
      <w:r w:rsidRPr="002D2FDF">
        <w:rPr>
          <w:b/>
          <w:lang w:val="pt-PT"/>
        </w:rPr>
        <w:t>«</w:t>
      </w:r>
      <w:r w:rsidRPr="002D2FDF">
        <w:rPr>
          <w:rFonts w:ascii="Times New Roman" w:hAnsi="Times New Roman"/>
          <w:b/>
          <w:lang w:val="pt-PT"/>
        </w:rPr>
        <w:t>Incumprimento das obrigações»</w:t>
      </w:r>
      <w:r w:rsidRPr="002D2FDF">
        <w:rPr>
          <w:rFonts w:ascii="Times New Roman" w:hAnsi="Times New Roman"/>
          <w:lang w:val="pt-PT"/>
        </w:rPr>
        <w:t>: incumprimento de uma ou mais das suas obrigações contratuais por parte do beneficiário;</w:t>
      </w:r>
    </w:p>
    <w:p w14:paraId="4049AD5E"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b/>
          <w:lang w:val="pt-PT"/>
        </w:rPr>
        <w:t>«Informação ou documento confidencial»</w:t>
      </w:r>
      <w:r w:rsidRPr="002D2FDF">
        <w:rPr>
          <w:rFonts w:ascii="Times New Roman" w:hAnsi="Times New Roman"/>
          <w:lang w:val="pt-PT"/>
        </w:rPr>
        <w:t>: qualquer informação ou documento (independentemente do formato) recebido por uma das partes da outra parte, ou consultado por qualquer das partes no âmbito da execução da convenção, que qualquer das partes tenha identificado por escrito como confidencial. Não pode incluir informação publicamente disponível;</w:t>
      </w:r>
    </w:p>
    <w:p w14:paraId="658CBAC0" w14:textId="77777777" w:rsidR="007A392C" w:rsidRPr="002D2FDF" w:rsidRDefault="00851C95">
      <w:pPr>
        <w:spacing w:line="240" w:lineRule="auto"/>
        <w:jc w:val="both"/>
        <w:rPr>
          <w:rFonts w:ascii="Times New Roman" w:hAnsi="Times New Roman"/>
          <w:b/>
          <w:sz w:val="24"/>
          <w:szCs w:val="24"/>
          <w:lang w:val="pt-PT"/>
        </w:rPr>
      </w:pPr>
      <w:r w:rsidRPr="002D2FDF">
        <w:rPr>
          <w:rFonts w:ascii="Times New Roman" w:hAnsi="Times New Roman"/>
          <w:b/>
          <w:lang w:val="pt-PT"/>
        </w:rPr>
        <w:t>«Conflito de interesses»</w:t>
      </w:r>
      <w:r w:rsidRPr="002D2FDF">
        <w:rPr>
          <w:rFonts w:ascii="Times New Roman" w:hAnsi="Times New Roman"/>
          <w:lang w:val="pt-PT"/>
        </w:rPr>
        <w:t>:</w:t>
      </w:r>
      <w:r w:rsidRPr="002D2FDF">
        <w:rPr>
          <w:rFonts w:ascii="Times New Roman" w:hAnsi="Times New Roman"/>
          <w:b/>
          <w:lang w:val="pt-PT"/>
        </w:rPr>
        <w:t xml:space="preserve"> </w:t>
      </w:r>
      <w:r w:rsidRPr="002D2FDF">
        <w:rPr>
          <w:rFonts w:ascii="Times New Roman" w:hAnsi="Times New Roman"/>
          <w:lang w:val="pt-PT"/>
        </w:rPr>
        <w:t>uma situação em que a execução da convenção de forma imparcial e objetiva pelo beneficiário se encontra comprometida por motivos familiares, afetivos, afinidades políticas ou nacionais, interesses económicos ou quaisquer outros interesses partilhados com a Comissão ou qualquer terceira parte relacionados com o objeto da convenção;</w:t>
      </w:r>
    </w:p>
    <w:p w14:paraId="62E53C27"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b/>
          <w:lang w:val="pt-PT"/>
        </w:rPr>
        <w:t>«Custos diretos»</w:t>
      </w:r>
      <w:r w:rsidRPr="002D2FDF">
        <w:rPr>
          <w:rFonts w:ascii="Times New Roman" w:hAnsi="Times New Roman"/>
          <w:lang w:val="pt-PT"/>
        </w:rPr>
        <w:t>: os custos específicos que estão diretamente ligados à execução da ação e que, por isso, lhe podem ser diretamente atribuídos. Não podem incluir custos indiretos;</w:t>
      </w:r>
    </w:p>
    <w:p w14:paraId="0F418D4C"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b/>
          <w:lang w:val="pt-PT"/>
        </w:rPr>
        <w:t>«</w:t>
      </w:r>
      <w:r w:rsidRPr="002D2FDF">
        <w:rPr>
          <w:rFonts w:ascii="Times New Roman" w:hAnsi="Times New Roman"/>
          <w:b/>
          <w:i/>
          <w:lang w:val="pt-PT"/>
        </w:rPr>
        <w:t>Força maior</w:t>
      </w:r>
      <w:r w:rsidRPr="002D2FDF">
        <w:rPr>
          <w:rFonts w:ascii="Times New Roman" w:hAnsi="Times New Roman"/>
          <w:b/>
          <w:lang w:val="pt-PT"/>
        </w:rPr>
        <w:t>»</w:t>
      </w:r>
      <w:r w:rsidRPr="002D2FDF">
        <w:rPr>
          <w:rFonts w:ascii="Times New Roman" w:hAnsi="Times New Roman"/>
          <w:lang w:val="pt-PT"/>
        </w:rPr>
        <w:t>: qualquer situação ou acontecimento imprevisível e excecional, independente da vontade das partes e não imputável a falta ou negligência de uma delas ou das entidades por si subcontratadas, das entidades afiliadas ou de terceiros que recebem apoio financeiro, que impeça qualquer das partes de executar uma das suas obrigações decorrentes da convenção e que não pôde ser resolvida apesar das diligências realizadas. Não podem ser invocados como motivo de força maior: conflitos laborais, greves, dificuldades financeiras ou falta de um serviço, defeitos de equipamento ou de material e atrasos na sua disponibilização, a não ser que resultem diretamente de um caso pertinente de força maior;</w:t>
      </w:r>
    </w:p>
    <w:p w14:paraId="60D64A04" w14:textId="77777777" w:rsidR="007A392C" w:rsidRPr="002D2FDF" w:rsidRDefault="00851C95">
      <w:pPr>
        <w:pStyle w:val="ListParagraph"/>
        <w:spacing w:after="0" w:line="240" w:lineRule="auto"/>
        <w:ind w:left="0"/>
        <w:contextualSpacing w:val="0"/>
        <w:jc w:val="both"/>
        <w:rPr>
          <w:rFonts w:ascii="Times New Roman" w:hAnsi="Times New Roman"/>
          <w:sz w:val="24"/>
          <w:szCs w:val="24"/>
          <w:lang w:val="pt-PT"/>
        </w:rPr>
      </w:pPr>
      <w:r w:rsidRPr="002D2FDF">
        <w:rPr>
          <w:rFonts w:ascii="Times New Roman" w:hAnsi="Times New Roman"/>
          <w:b/>
          <w:lang w:val="pt-PT"/>
        </w:rPr>
        <w:t>«Notificação formal»</w:t>
      </w:r>
      <w:r w:rsidRPr="002D2FDF">
        <w:rPr>
          <w:rFonts w:ascii="Times New Roman" w:hAnsi="Times New Roman"/>
          <w:lang w:val="pt-PT"/>
        </w:rPr>
        <w:t>: a forma de comunicação entre as partes, efetuada por escrito por via postal ou correio eletrónico, que fornece ao remetente provas irrefutáveis de que a mensagem foi entregue ao destinatário;</w:t>
      </w:r>
    </w:p>
    <w:p w14:paraId="17E25824" w14:textId="77777777" w:rsidR="007A392C" w:rsidRPr="002D2FDF" w:rsidRDefault="007A392C">
      <w:pPr>
        <w:pStyle w:val="ListParagraph"/>
        <w:spacing w:after="0" w:line="240" w:lineRule="auto"/>
        <w:ind w:left="0"/>
        <w:contextualSpacing w:val="0"/>
        <w:jc w:val="both"/>
        <w:rPr>
          <w:rFonts w:ascii="Times New Roman" w:hAnsi="Times New Roman"/>
          <w:sz w:val="24"/>
          <w:szCs w:val="24"/>
          <w:lang w:val="pt-PT"/>
        </w:rPr>
      </w:pPr>
    </w:p>
    <w:p w14:paraId="42B76E88"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b/>
          <w:lang w:val="pt-PT"/>
        </w:rPr>
        <w:t>«Fraude»</w:t>
      </w:r>
      <w:r w:rsidRPr="002D2FDF">
        <w:rPr>
          <w:rFonts w:ascii="Times New Roman" w:hAnsi="Times New Roman"/>
          <w:lang w:val="pt-PT"/>
        </w:rPr>
        <w:t xml:space="preserve">: qualquer ato ou omissão relativos à utilização ou apresentação de declarações ou de documentos falsos, inexatos ou incompletos, que tenha por efeito o recebimento ou a retenção indevidos de fundos ou ativos do orçamento da União, a não comunicação de uma informação em violação de uma obrigação específica com o mesmo efeito ou o desvio de tais fundos ou ativos para fins que não aqueles para os quais foram inicialmente concedidos; </w:t>
      </w:r>
    </w:p>
    <w:p w14:paraId="615C2B00" w14:textId="262322CC" w:rsidR="007A392C" w:rsidRPr="002D2FDF" w:rsidRDefault="007A392C">
      <w:pPr>
        <w:spacing w:line="240" w:lineRule="auto"/>
        <w:jc w:val="both"/>
        <w:rPr>
          <w:rFonts w:ascii="Times New Roman" w:hAnsi="Times New Roman"/>
          <w:sz w:val="24"/>
          <w:szCs w:val="24"/>
          <w:lang w:val="pt-PT"/>
        </w:rPr>
      </w:pPr>
    </w:p>
    <w:p w14:paraId="4263DB92" w14:textId="77777777" w:rsidR="007A392C" w:rsidRPr="002D2FDF" w:rsidRDefault="00511E7C">
      <w:pPr>
        <w:spacing w:after="40" w:line="240" w:lineRule="auto"/>
        <w:jc w:val="both"/>
        <w:rPr>
          <w:lang w:val="pt-PT"/>
        </w:rPr>
      </w:pPr>
      <w:r w:rsidRPr="002D2FDF">
        <w:rPr>
          <w:rFonts w:ascii="Times New Roman" w:hAnsi="Times New Roman"/>
          <w:b/>
          <w:lang w:val="pt-PT"/>
        </w:rPr>
        <w:t>«Falta grave em matéria profissional»</w:t>
      </w:r>
      <w:r w:rsidRPr="002D2FDF">
        <w:rPr>
          <w:rFonts w:ascii="Times New Roman" w:hAnsi="Times New Roman"/>
          <w:lang w:val="pt-PT"/>
        </w:rPr>
        <w:t>: uma violação das disposições legislativas ou regulamentares aplicáveis ou das regras deontológicas da profissão a que a pessoa ou entidade pertence, ou qualquer comportamento ilícito de uma pessoa ou entidade que tenha um impacto na sua credibilidade profissional, sempre que tal comportamento denote uma intenção dolosa ou uma negligência grave</w:t>
      </w:r>
      <w:r w:rsidRPr="002D2FDF">
        <w:rPr>
          <w:lang w:val="pt-PT"/>
        </w:rPr>
        <w:t>;</w:t>
      </w:r>
    </w:p>
    <w:p w14:paraId="6D556434" w14:textId="77777777" w:rsidR="007A392C" w:rsidRPr="002D2FDF" w:rsidRDefault="007A392C">
      <w:pPr>
        <w:spacing w:line="240" w:lineRule="auto"/>
        <w:jc w:val="both"/>
        <w:rPr>
          <w:rFonts w:ascii="Times New Roman" w:hAnsi="Times New Roman"/>
          <w:sz w:val="24"/>
          <w:szCs w:val="24"/>
          <w:lang w:val="pt-PT"/>
        </w:rPr>
      </w:pPr>
    </w:p>
    <w:p w14:paraId="27EA9B9C" w14:textId="77777777" w:rsidR="007A392C" w:rsidRPr="002D2FDF" w:rsidRDefault="00851C95">
      <w:pPr>
        <w:spacing w:line="240" w:lineRule="auto"/>
        <w:jc w:val="both"/>
        <w:rPr>
          <w:rFonts w:ascii="Times New Roman" w:hAnsi="Times New Roman"/>
          <w:b/>
          <w:sz w:val="24"/>
          <w:szCs w:val="24"/>
          <w:lang w:val="pt-PT"/>
        </w:rPr>
      </w:pPr>
      <w:r w:rsidRPr="002D2FDF">
        <w:rPr>
          <w:rFonts w:ascii="Times New Roman" w:hAnsi="Times New Roman"/>
          <w:b/>
          <w:lang w:val="pt-PT"/>
        </w:rPr>
        <w:t>«Período de execução»</w:t>
      </w:r>
      <w:r w:rsidRPr="002D2FDF">
        <w:rPr>
          <w:rFonts w:ascii="Times New Roman" w:hAnsi="Times New Roman"/>
          <w:lang w:val="pt-PT"/>
        </w:rPr>
        <w:t>: o período de execução das atividades que fazem parte da ação, como especificado no artigo I.2.2;</w:t>
      </w:r>
    </w:p>
    <w:p w14:paraId="6E6065C5"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b/>
          <w:lang w:val="pt-PT"/>
        </w:rPr>
        <w:t>«Custos indiretos»</w:t>
      </w:r>
      <w:r w:rsidRPr="002D2FDF">
        <w:rPr>
          <w:rFonts w:ascii="Times New Roman" w:hAnsi="Times New Roman"/>
          <w:lang w:val="pt-PT"/>
        </w:rPr>
        <w:t>: os custos que não estão específica e diretamente ligados à execução da ação e que, por isso, não lhe podem ser diretamente atribuídos. Não podem incluir quaisquer custos identificáveis ou declarados como custos diretos elegíveis;</w:t>
      </w:r>
    </w:p>
    <w:p w14:paraId="032D15F4" w14:textId="77777777" w:rsidR="007A392C" w:rsidRPr="002D2FDF" w:rsidRDefault="00851C95">
      <w:pPr>
        <w:spacing w:line="240" w:lineRule="auto"/>
        <w:jc w:val="both"/>
        <w:rPr>
          <w:rFonts w:ascii="Times New Roman" w:hAnsi="Times New Roman"/>
          <w:b/>
          <w:sz w:val="24"/>
          <w:szCs w:val="24"/>
          <w:lang w:val="pt-PT"/>
        </w:rPr>
      </w:pPr>
      <w:r w:rsidRPr="002D2FDF">
        <w:rPr>
          <w:rFonts w:ascii="Times New Roman" w:hAnsi="Times New Roman"/>
          <w:b/>
          <w:lang w:val="pt-PT"/>
        </w:rPr>
        <w:t>«Irregularidade»</w:t>
      </w:r>
      <w:r w:rsidRPr="002D2FDF">
        <w:rPr>
          <w:rFonts w:ascii="Times New Roman" w:hAnsi="Times New Roman"/>
          <w:lang w:val="pt-PT"/>
        </w:rPr>
        <w:t>: qualquer violação de uma disposição do direito da União que resulte de um ato ou omissão do beneficiário que tenha, ou possa ter, por efeito lesar o orçamento da União;</w:t>
      </w:r>
    </w:p>
    <w:p w14:paraId="73AFEDF4"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b/>
          <w:lang w:val="pt-PT"/>
        </w:rPr>
        <w:t>«Montante máximo da subvenção»</w:t>
      </w:r>
      <w:r w:rsidRPr="002D2FDF">
        <w:rPr>
          <w:rFonts w:ascii="Times New Roman" w:hAnsi="Times New Roman"/>
          <w:lang w:val="pt-PT"/>
        </w:rPr>
        <w:t>: a contribuição máxima da UE para a ação, como definida no artigo I.3.1;</w:t>
      </w:r>
    </w:p>
    <w:p w14:paraId="3F48B250"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b/>
          <w:lang w:val="pt-PT"/>
        </w:rPr>
        <w:t>«Material preexistente»</w:t>
      </w:r>
      <w:r w:rsidRPr="002D2FDF">
        <w:rPr>
          <w:rFonts w:ascii="Times New Roman" w:hAnsi="Times New Roman"/>
          <w:lang w:val="pt-PT"/>
        </w:rPr>
        <w:t>: qualquer material, documento, tecnologia ou conhecimento especializado existente antes de o beneficiário os utilizar na produção de um resultado da execução da ação;</w:t>
      </w:r>
    </w:p>
    <w:p w14:paraId="62ED7D9A" w14:textId="77777777" w:rsidR="007A392C" w:rsidRPr="002D2FDF" w:rsidRDefault="00851C95">
      <w:pPr>
        <w:spacing w:line="240" w:lineRule="auto"/>
        <w:jc w:val="both"/>
        <w:rPr>
          <w:rFonts w:ascii="Times New Roman" w:hAnsi="Times New Roman"/>
          <w:b/>
          <w:sz w:val="24"/>
          <w:szCs w:val="24"/>
          <w:lang w:val="pt-PT"/>
        </w:rPr>
      </w:pPr>
      <w:r w:rsidRPr="002D2FDF">
        <w:rPr>
          <w:rFonts w:ascii="Times New Roman" w:hAnsi="Times New Roman"/>
          <w:b/>
          <w:lang w:val="pt-PT"/>
        </w:rPr>
        <w:t>«Direitos preexistentes»</w:t>
      </w:r>
      <w:r w:rsidRPr="002D2FDF">
        <w:rPr>
          <w:rFonts w:ascii="Times New Roman" w:hAnsi="Times New Roman"/>
          <w:lang w:val="pt-PT"/>
        </w:rPr>
        <w:t>: quaisquer direitos de propriedade industrial e intelectual sobre material preexistente; pode consistir num direito de propriedade, direito de licença e/ou direito de uso pertencentes ao beneficiário ou a quaisquer outros terceiros;</w:t>
      </w:r>
    </w:p>
    <w:p w14:paraId="4BF87548" w14:textId="77777777" w:rsidR="007A392C" w:rsidRPr="002D2FDF" w:rsidRDefault="00851C95">
      <w:pPr>
        <w:spacing w:line="240" w:lineRule="auto"/>
        <w:jc w:val="both"/>
        <w:rPr>
          <w:rFonts w:ascii="Times New Roman" w:hAnsi="Times New Roman"/>
          <w:color w:val="000000"/>
          <w:sz w:val="24"/>
          <w:szCs w:val="24"/>
          <w:lang w:val="pt-PT"/>
        </w:rPr>
      </w:pPr>
      <w:r w:rsidRPr="002D2FDF">
        <w:rPr>
          <w:rFonts w:ascii="Times New Roman" w:hAnsi="Times New Roman"/>
          <w:b/>
          <w:lang w:val="pt-PT"/>
        </w:rPr>
        <w:t>«Pessoa relacionada»</w:t>
      </w:r>
      <w:r w:rsidRPr="002D2FDF">
        <w:rPr>
          <w:rFonts w:ascii="Times New Roman" w:hAnsi="Times New Roman"/>
          <w:lang w:val="pt-PT"/>
        </w:rPr>
        <w:t xml:space="preserve">: qualquer pessoa com o poder de representar o beneficiário ou tomar decisões em seu nome;  </w:t>
      </w:r>
    </w:p>
    <w:p w14:paraId="15B81A0F" w14:textId="77777777" w:rsidR="007A392C" w:rsidRPr="002D2FDF" w:rsidRDefault="00851C95">
      <w:pPr>
        <w:spacing w:line="240" w:lineRule="auto"/>
        <w:jc w:val="both"/>
        <w:rPr>
          <w:rFonts w:ascii="Times New Roman" w:hAnsi="Times New Roman"/>
          <w:b/>
          <w:sz w:val="24"/>
          <w:szCs w:val="24"/>
          <w:lang w:val="pt-PT"/>
        </w:rPr>
      </w:pPr>
      <w:r w:rsidRPr="002D2FDF">
        <w:rPr>
          <w:rFonts w:ascii="Times New Roman" w:hAnsi="Times New Roman"/>
          <w:b/>
          <w:lang w:val="pt-PT"/>
        </w:rPr>
        <w:t>«Data de início»</w:t>
      </w:r>
      <w:r w:rsidRPr="002D2FDF">
        <w:rPr>
          <w:rFonts w:ascii="Times New Roman" w:hAnsi="Times New Roman"/>
          <w:lang w:val="pt-PT"/>
        </w:rPr>
        <w:t>: a data em que a execução da ação tem início, como previsto no artigo I.2.2;</w:t>
      </w:r>
    </w:p>
    <w:p w14:paraId="52CC6F30" w14:textId="77777777" w:rsidR="007A392C" w:rsidRPr="002D2FDF" w:rsidRDefault="00851C95">
      <w:pPr>
        <w:spacing w:line="240" w:lineRule="auto"/>
        <w:jc w:val="both"/>
        <w:rPr>
          <w:rFonts w:ascii="Times New Roman" w:hAnsi="Times New Roman"/>
          <w:b/>
          <w:sz w:val="24"/>
          <w:szCs w:val="24"/>
          <w:lang w:val="pt-PT"/>
        </w:rPr>
      </w:pPr>
      <w:r w:rsidRPr="002D2FDF">
        <w:rPr>
          <w:rFonts w:ascii="Times New Roman" w:hAnsi="Times New Roman"/>
          <w:b/>
          <w:lang w:val="pt-PT"/>
        </w:rPr>
        <w:t>«Subcontrato»</w:t>
      </w:r>
      <w:r w:rsidRPr="002D2FDF">
        <w:rPr>
          <w:rFonts w:ascii="Times New Roman" w:hAnsi="Times New Roman"/>
          <w:lang w:val="pt-PT"/>
        </w:rPr>
        <w:t>: um contrato, na aceção do artigo II.10, que abrange a realização por terceiros de tarefas que fazem parte da ação descrita no anexo II;</w:t>
      </w:r>
    </w:p>
    <w:p w14:paraId="30546EFA" w14:textId="77777777" w:rsidR="007A392C" w:rsidRPr="002D2FDF" w:rsidRDefault="00851C95">
      <w:pPr>
        <w:pStyle w:val="Heading2"/>
        <w:rPr>
          <w:rFonts w:ascii="Times New Roman" w:hAnsi="Times New Roman"/>
          <w:lang w:val="pt-PT"/>
        </w:rPr>
      </w:pPr>
      <w:bookmarkStart w:id="4" w:name="_Toc441250818"/>
      <w:bookmarkStart w:id="5" w:name="_Toc446535864"/>
      <w:r w:rsidRPr="002D2FDF">
        <w:rPr>
          <w:rFonts w:ascii="Times New Roman" w:hAnsi="Times New Roman"/>
          <w:lang w:val="pt-PT"/>
        </w:rPr>
        <w:t xml:space="preserve">Artigo II.2 — Obrigações gerais do </w:t>
      </w:r>
      <w:bookmarkEnd w:id="4"/>
      <w:r w:rsidRPr="002D2FDF">
        <w:rPr>
          <w:rFonts w:ascii="Times New Roman" w:hAnsi="Times New Roman"/>
          <w:lang w:val="pt-PT"/>
        </w:rPr>
        <w:t>beneficiário</w:t>
      </w:r>
      <w:bookmarkEnd w:id="5"/>
    </w:p>
    <w:p w14:paraId="32324802" w14:textId="77777777" w:rsidR="007A392C" w:rsidRPr="002D2FDF" w:rsidRDefault="00851C95">
      <w:pPr>
        <w:spacing w:after="0" w:line="240" w:lineRule="auto"/>
        <w:jc w:val="both"/>
        <w:rPr>
          <w:rFonts w:ascii="Times New Roman" w:hAnsi="Times New Roman"/>
          <w:sz w:val="24"/>
          <w:szCs w:val="24"/>
          <w:lang w:val="pt-PT"/>
        </w:rPr>
      </w:pPr>
      <w:r w:rsidRPr="002D2FDF">
        <w:rPr>
          <w:rFonts w:ascii="Times New Roman" w:hAnsi="Times New Roman"/>
          <w:lang w:val="pt-PT"/>
        </w:rPr>
        <w:t>O beneficiário:</w:t>
      </w:r>
    </w:p>
    <w:p w14:paraId="4E0150BD" w14:textId="77777777" w:rsidR="007A392C" w:rsidRPr="002D2FDF" w:rsidRDefault="007A392C">
      <w:pPr>
        <w:spacing w:after="0" w:line="240" w:lineRule="auto"/>
        <w:jc w:val="both"/>
        <w:rPr>
          <w:rFonts w:ascii="Times New Roman" w:hAnsi="Times New Roman"/>
          <w:sz w:val="24"/>
          <w:szCs w:val="24"/>
          <w:lang w:val="pt-PT"/>
        </w:rPr>
      </w:pPr>
    </w:p>
    <w:p w14:paraId="23833E99" w14:textId="70959DEF" w:rsidR="007A392C" w:rsidRPr="002D2FDF" w:rsidRDefault="002D2FDF">
      <w:pPr>
        <w:spacing w:after="0" w:line="240" w:lineRule="auto"/>
        <w:ind w:left="567" w:hanging="567"/>
        <w:jc w:val="both"/>
        <w:rPr>
          <w:rFonts w:ascii="Times New Roman" w:hAnsi="Times New Roman"/>
          <w:sz w:val="24"/>
          <w:szCs w:val="24"/>
          <w:lang w:val="pt-PT"/>
        </w:rPr>
      </w:pPr>
      <w:r>
        <w:rPr>
          <w:rFonts w:ascii="Times New Roman" w:hAnsi="Times New Roman"/>
          <w:lang w:val="pt-PT"/>
        </w:rPr>
        <w:t>(</w:t>
      </w:r>
      <w:r w:rsidR="00851C95" w:rsidRPr="002D2FDF">
        <w:rPr>
          <w:rFonts w:ascii="Times New Roman" w:hAnsi="Times New Roman"/>
          <w:lang w:val="pt-PT"/>
        </w:rPr>
        <w:t>a)</w:t>
      </w:r>
      <w:r w:rsidR="00851C95" w:rsidRPr="002D2FDF">
        <w:rPr>
          <w:rFonts w:ascii="Times New Roman" w:hAnsi="Times New Roman"/>
          <w:lang w:val="pt-PT"/>
        </w:rPr>
        <w:tab/>
        <w:t xml:space="preserve">É responsável por executar a </w:t>
      </w:r>
      <w:r w:rsidR="00851C95" w:rsidRPr="002D2FDF">
        <w:rPr>
          <w:rFonts w:ascii="Times New Roman" w:hAnsi="Times New Roman"/>
          <w:i/>
          <w:lang w:val="pt-PT"/>
        </w:rPr>
        <w:t>ação</w:t>
      </w:r>
      <w:r w:rsidR="00851C95" w:rsidRPr="002D2FDF">
        <w:rPr>
          <w:rFonts w:ascii="Times New Roman" w:hAnsi="Times New Roman"/>
          <w:lang w:val="pt-PT"/>
        </w:rPr>
        <w:t xml:space="preserve"> de acordo com os termos e condições da convenção;</w:t>
      </w:r>
    </w:p>
    <w:p w14:paraId="7D05488C" w14:textId="36D8D0F6" w:rsidR="007A392C" w:rsidRPr="002D2FDF" w:rsidRDefault="002D2FDF">
      <w:pPr>
        <w:spacing w:before="240" w:after="0" w:line="240" w:lineRule="auto"/>
        <w:ind w:left="567" w:hanging="567"/>
        <w:jc w:val="both"/>
        <w:rPr>
          <w:rFonts w:ascii="Times New Roman" w:hAnsi="Times New Roman"/>
          <w:sz w:val="24"/>
          <w:szCs w:val="24"/>
          <w:lang w:val="pt-PT"/>
        </w:rPr>
      </w:pPr>
      <w:r>
        <w:rPr>
          <w:rFonts w:ascii="Times New Roman" w:hAnsi="Times New Roman"/>
          <w:lang w:val="pt-PT"/>
        </w:rPr>
        <w:t>(</w:t>
      </w:r>
      <w:r w:rsidR="00851C95" w:rsidRPr="002D2FDF">
        <w:rPr>
          <w:rFonts w:ascii="Times New Roman" w:hAnsi="Times New Roman"/>
          <w:lang w:val="pt-PT"/>
        </w:rPr>
        <w:t>b)</w:t>
      </w:r>
      <w:r w:rsidR="00851C95" w:rsidRPr="002D2FDF">
        <w:rPr>
          <w:rFonts w:ascii="Times New Roman" w:hAnsi="Times New Roman"/>
          <w:lang w:val="pt-PT"/>
        </w:rPr>
        <w:tab/>
        <w:t>Tem de respeitar todas as obrigações legais a que esteja vinculado nos termos do direito da UE, internacional e nacional;</w:t>
      </w:r>
    </w:p>
    <w:p w14:paraId="4EBD2250" w14:textId="36D53FDD" w:rsidR="007A392C" w:rsidRPr="002D2FDF" w:rsidRDefault="002D2FDF">
      <w:pPr>
        <w:spacing w:before="240" w:after="0" w:line="240" w:lineRule="auto"/>
        <w:ind w:left="567" w:hanging="567"/>
        <w:jc w:val="both"/>
        <w:rPr>
          <w:rFonts w:ascii="Times New Roman" w:hAnsi="Times New Roman"/>
          <w:sz w:val="24"/>
          <w:szCs w:val="24"/>
          <w:lang w:val="pt-PT"/>
        </w:rPr>
      </w:pPr>
      <w:r>
        <w:rPr>
          <w:rFonts w:ascii="Times New Roman" w:hAnsi="Times New Roman"/>
          <w:lang w:val="pt-PT"/>
        </w:rPr>
        <w:t>(</w:t>
      </w:r>
      <w:r w:rsidR="00851C95" w:rsidRPr="002D2FDF">
        <w:rPr>
          <w:rFonts w:ascii="Times New Roman" w:hAnsi="Times New Roman"/>
          <w:lang w:val="pt-PT"/>
        </w:rPr>
        <w:t>c)</w:t>
      </w:r>
      <w:r w:rsidR="00851C95" w:rsidRPr="002D2FDF">
        <w:rPr>
          <w:rFonts w:ascii="Times New Roman" w:hAnsi="Times New Roman"/>
          <w:lang w:val="pt-PT"/>
        </w:rPr>
        <w:tab/>
        <w:t xml:space="preserve">Tem de informar imediatamente a Comissão de quaisquer acontecimentos ou circunstâncias de que tenha conhecimento e que sejam suscetíveis de afetar ou atrasar a execução da </w:t>
      </w:r>
      <w:r w:rsidR="00851C95" w:rsidRPr="002D2FDF">
        <w:rPr>
          <w:rFonts w:ascii="Times New Roman" w:hAnsi="Times New Roman"/>
          <w:i/>
          <w:lang w:val="pt-PT"/>
        </w:rPr>
        <w:t>ação</w:t>
      </w:r>
      <w:r w:rsidR="00851C95" w:rsidRPr="002D2FDF">
        <w:rPr>
          <w:rFonts w:ascii="Times New Roman" w:hAnsi="Times New Roman"/>
          <w:lang w:val="pt-PT"/>
        </w:rPr>
        <w:t>;</w:t>
      </w:r>
    </w:p>
    <w:p w14:paraId="48DA2FDA" w14:textId="2DFFDA9A" w:rsidR="007A392C" w:rsidRPr="002D2FDF" w:rsidRDefault="002D2FDF">
      <w:pPr>
        <w:spacing w:before="240" w:after="0" w:line="240" w:lineRule="auto"/>
        <w:ind w:left="567" w:hanging="567"/>
        <w:jc w:val="both"/>
        <w:rPr>
          <w:rFonts w:ascii="Times New Roman" w:hAnsi="Times New Roman"/>
          <w:sz w:val="24"/>
          <w:szCs w:val="24"/>
          <w:lang w:val="pt-PT"/>
        </w:rPr>
      </w:pPr>
      <w:r>
        <w:rPr>
          <w:rFonts w:ascii="Times New Roman" w:hAnsi="Times New Roman"/>
          <w:lang w:val="pt-PT"/>
        </w:rPr>
        <w:t>(</w:t>
      </w:r>
      <w:r w:rsidR="00851C95" w:rsidRPr="002D2FDF">
        <w:rPr>
          <w:rFonts w:ascii="Times New Roman" w:hAnsi="Times New Roman"/>
          <w:lang w:val="pt-PT"/>
        </w:rPr>
        <w:t>d)</w:t>
      </w:r>
      <w:r w:rsidR="00851C95" w:rsidRPr="002D2FDF">
        <w:rPr>
          <w:rFonts w:ascii="Times New Roman" w:hAnsi="Times New Roman"/>
          <w:lang w:val="pt-PT"/>
        </w:rPr>
        <w:tab/>
        <w:t>Tem de informar imediatamente a Comissão:</w:t>
      </w:r>
    </w:p>
    <w:p w14:paraId="756AA166" w14:textId="77777777" w:rsidR="007A392C" w:rsidRPr="002D2FDF" w:rsidRDefault="00851C95">
      <w:pPr>
        <w:numPr>
          <w:ilvl w:val="0"/>
          <w:numId w:val="78"/>
        </w:numPr>
        <w:spacing w:before="100" w:beforeAutospacing="1" w:after="100" w:afterAutospacing="1" w:line="240" w:lineRule="auto"/>
        <w:jc w:val="both"/>
        <w:rPr>
          <w:rFonts w:ascii="Times New Roman" w:eastAsia="Times New Roman" w:hAnsi="Times New Roman"/>
          <w:sz w:val="24"/>
          <w:szCs w:val="24"/>
          <w:lang w:val="pt-PT"/>
        </w:rPr>
      </w:pPr>
      <w:r w:rsidRPr="002D2FDF">
        <w:rPr>
          <w:rFonts w:ascii="Times New Roman" w:eastAsia="Times New Roman" w:hAnsi="Times New Roman"/>
          <w:lang w:val="pt-PT"/>
        </w:rPr>
        <w:t>de qualquer alteração na sua própria situação jurídico-legal, financeira, técnica, organizacional ou de propriedade, bem como de qualquer alteração da sua própria denominação, endereço ou representante legal;</w:t>
      </w:r>
    </w:p>
    <w:p w14:paraId="16BEB2C7" w14:textId="25018E58" w:rsidR="007A392C" w:rsidRPr="002D2FDF" w:rsidRDefault="00851C95">
      <w:pPr>
        <w:numPr>
          <w:ilvl w:val="0"/>
          <w:numId w:val="78"/>
        </w:numPr>
        <w:spacing w:before="100" w:beforeAutospacing="1" w:after="100" w:afterAutospacing="1" w:line="240" w:lineRule="auto"/>
        <w:jc w:val="both"/>
        <w:rPr>
          <w:rFonts w:ascii="Times New Roman" w:eastAsia="Times New Roman" w:hAnsi="Times New Roman"/>
          <w:sz w:val="24"/>
          <w:szCs w:val="24"/>
          <w:lang w:val="pt-PT"/>
        </w:rPr>
      </w:pPr>
      <w:r w:rsidRPr="002D2FDF">
        <w:rPr>
          <w:rFonts w:ascii="Times New Roman" w:eastAsia="Times New Roman" w:hAnsi="Times New Roman"/>
          <w:lang w:val="pt-PT"/>
        </w:rPr>
        <w:t>de qualquer alteração na situação jurídico-legal, financeira, técnica, organizacional ou de propriedade das suas entidades afiliadas, bem como de qualquer alteração da denominação, endereço ou representante legal das mesmas;</w:t>
      </w:r>
    </w:p>
    <w:p w14:paraId="7BE3D116" w14:textId="77777777" w:rsidR="007A392C" w:rsidRPr="002D2FDF" w:rsidRDefault="00511E7C">
      <w:pPr>
        <w:numPr>
          <w:ilvl w:val="0"/>
          <w:numId w:val="78"/>
        </w:numPr>
        <w:spacing w:before="100" w:beforeAutospacing="1" w:after="100" w:afterAutospacing="1" w:line="240" w:lineRule="auto"/>
        <w:jc w:val="both"/>
        <w:rPr>
          <w:rFonts w:ascii="Times New Roman" w:eastAsia="Times New Roman" w:hAnsi="Times New Roman"/>
          <w:sz w:val="24"/>
          <w:szCs w:val="24"/>
          <w:lang w:val="pt-PT"/>
        </w:rPr>
      </w:pPr>
      <w:r w:rsidRPr="002D2FDF">
        <w:rPr>
          <w:rFonts w:ascii="Times New Roman" w:eastAsia="Times New Roman" w:hAnsi="Times New Roman"/>
          <w:lang w:val="pt-PT"/>
        </w:rPr>
        <w:t xml:space="preserve">de qualquer alteração relativa às situações de exclusão enumeradas no artigo 136.º do Regulamento (UE) 2018/1046, incluindo para as suas entidades afiliadas. </w:t>
      </w:r>
    </w:p>
    <w:p w14:paraId="47BE9E9C" w14:textId="77777777" w:rsidR="007A392C" w:rsidRPr="002D2FDF" w:rsidRDefault="007A392C">
      <w:pPr>
        <w:spacing w:before="100" w:beforeAutospacing="1" w:after="100" w:afterAutospacing="1" w:line="240" w:lineRule="auto"/>
        <w:ind w:left="567"/>
        <w:jc w:val="both"/>
        <w:rPr>
          <w:rFonts w:ascii="Times New Roman" w:eastAsia="Times New Roman" w:hAnsi="Times New Roman"/>
          <w:sz w:val="24"/>
          <w:szCs w:val="24"/>
          <w:lang w:val="pt-PT"/>
        </w:rPr>
      </w:pPr>
    </w:p>
    <w:p w14:paraId="2CDD4559" w14:textId="1C37648C" w:rsidR="007A392C" w:rsidRPr="002D2FDF" w:rsidRDefault="00851C95">
      <w:pPr>
        <w:pStyle w:val="Heading2"/>
        <w:rPr>
          <w:rFonts w:ascii="Times New Roman" w:hAnsi="Times New Roman"/>
          <w:lang w:val="pt-PT"/>
        </w:rPr>
      </w:pPr>
      <w:bookmarkStart w:id="6" w:name="_Toc441250822"/>
      <w:bookmarkStart w:id="7" w:name="_Toc446535865"/>
      <w:r w:rsidRPr="002D2FDF">
        <w:rPr>
          <w:rFonts w:ascii="Times New Roman" w:hAnsi="Times New Roman"/>
          <w:lang w:val="pt-PT"/>
        </w:rPr>
        <w:t>Artigo II.3 — Comunicação entre as partes</w:t>
      </w:r>
      <w:bookmarkEnd w:id="6"/>
      <w:bookmarkEnd w:id="7"/>
    </w:p>
    <w:p w14:paraId="3FBA44FE" w14:textId="176DAC05" w:rsidR="007A392C" w:rsidRPr="002D2FDF" w:rsidRDefault="00851C95">
      <w:pPr>
        <w:pStyle w:val="Heading3"/>
        <w:jc w:val="both"/>
        <w:rPr>
          <w:rFonts w:ascii="Times New Roman" w:hAnsi="Times New Roman"/>
          <w:lang w:val="pt-PT"/>
        </w:rPr>
      </w:pPr>
      <w:bookmarkStart w:id="8" w:name="_Toc441250823"/>
      <w:bookmarkStart w:id="9" w:name="_Toc446535866"/>
      <w:r w:rsidRPr="002D2FDF">
        <w:rPr>
          <w:rFonts w:ascii="Times New Roman" w:hAnsi="Times New Roman"/>
          <w:lang w:val="pt-PT"/>
        </w:rPr>
        <w:t>II.3.1</w:t>
      </w:r>
      <w:r w:rsidRPr="002D2FDF">
        <w:rPr>
          <w:rFonts w:ascii="Times New Roman" w:hAnsi="Times New Roman"/>
          <w:lang w:val="pt-PT"/>
        </w:rPr>
        <w:tab/>
        <w:t>Forma e meios de comunicação</w:t>
      </w:r>
      <w:bookmarkEnd w:id="8"/>
      <w:bookmarkEnd w:id="9"/>
    </w:p>
    <w:p w14:paraId="67F5A00F"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Todas as comunicações relacionadas com a convenção ou com a sua execução devem:</w:t>
      </w:r>
    </w:p>
    <w:p w14:paraId="550A4CD8" w14:textId="77777777" w:rsidR="007A392C" w:rsidRPr="002D2FDF" w:rsidRDefault="00851C95">
      <w:pPr>
        <w:numPr>
          <w:ilvl w:val="0"/>
          <w:numId w:val="17"/>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Ser efetuadas por escrito (em papel ou formato eletrónico);</w:t>
      </w:r>
    </w:p>
    <w:p w14:paraId="0732DBCE" w14:textId="77777777" w:rsidR="007A392C" w:rsidRPr="002D2FDF" w:rsidRDefault="00851C95">
      <w:pPr>
        <w:numPr>
          <w:ilvl w:val="0"/>
          <w:numId w:val="17"/>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Incluir o número da convenção; e</w:t>
      </w:r>
    </w:p>
    <w:p w14:paraId="45271F70" w14:textId="77777777" w:rsidR="007A392C" w:rsidRPr="002D2FDF" w:rsidRDefault="00851C95">
      <w:pPr>
        <w:numPr>
          <w:ilvl w:val="0"/>
          <w:numId w:val="17"/>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Ser efetuadas utilizando os contactos indicados no artigo I.6.</w:t>
      </w:r>
    </w:p>
    <w:p w14:paraId="498F1E43" w14:textId="77777777" w:rsidR="007A392C" w:rsidRPr="002D2FDF" w:rsidRDefault="00511E7C">
      <w:p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Em especial, as partes concordam que qualquer notificação formal efetuada por via postal ou correio eletrónico tem plenos efeitos jurídicos e é admissível como prova em processos administrativos ou judiciais.</w:t>
      </w:r>
    </w:p>
    <w:p w14:paraId="08EDEEF9"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Sempre que uma parte solicitar confirmação escrita de uma mensagem de correio eletrónico num prazo razoável, o remetente deve apresentar a versão original da comunicação assinada em papel o mais rapidamente possível.</w:t>
      </w:r>
    </w:p>
    <w:p w14:paraId="2AF56D6C" w14:textId="77777777" w:rsidR="007A392C" w:rsidRPr="002D2FDF" w:rsidRDefault="00851C95">
      <w:pPr>
        <w:pStyle w:val="Heading3"/>
        <w:jc w:val="both"/>
        <w:rPr>
          <w:rFonts w:ascii="Times New Roman" w:hAnsi="Times New Roman"/>
          <w:lang w:val="pt-PT"/>
        </w:rPr>
      </w:pPr>
      <w:bookmarkStart w:id="10" w:name="_Toc441250824"/>
      <w:bookmarkStart w:id="11" w:name="_Toc446535867"/>
      <w:r w:rsidRPr="002D2FDF">
        <w:rPr>
          <w:rFonts w:ascii="Times New Roman" w:hAnsi="Times New Roman"/>
          <w:lang w:val="pt-PT"/>
        </w:rPr>
        <w:t>II.3.2</w:t>
      </w:r>
      <w:r w:rsidRPr="002D2FDF">
        <w:rPr>
          <w:rFonts w:ascii="Times New Roman" w:hAnsi="Times New Roman"/>
          <w:lang w:val="pt-PT"/>
        </w:rPr>
        <w:tab/>
        <w:t>Data das comunicações</w:t>
      </w:r>
      <w:bookmarkEnd w:id="10"/>
      <w:bookmarkEnd w:id="11"/>
    </w:p>
    <w:p w14:paraId="24738D18" w14:textId="05D1EEC2"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Qualquer comunicação é considerada efetuada no momento em que é recebida pela parte destinatária, salvo se a convenção dispuser que a referida comunicação se considera efetuada na data em que foi enviada.</w:t>
      </w:r>
    </w:p>
    <w:p w14:paraId="7FF8A8C8" w14:textId="5070A2F1"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Considera-se que uma mensagem de correio eletrónico foi recebida pelas partes no dia do seu envio, desde que seja enviada para o endereço indicado no artigo I.6. O remetente deve poder comprovar a data de envio, por exemplo através de um aviso de entrega gerado automaticamente. Se o remetente receber um aviso de mensagem não entregue, deve envidar todos os esforços para garantir que a outra parte receba efetivamente a comunicação por correio eletrónico ou correio normal. Nesse caso, o remetente não pode ser considerado em situação de incumprimento das suas obrigações de envio de uma comunicação dentro de um determinado prazo.</w:t>
      </w:r>
    </w:p>
    <w:p w14:paraId="01700369" w14:textId="0C27D716"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O correio enviado para a Comissão por serviços de correio normais ou expresso, considera-se recebido pela Comissão na data em que for registado pelo departamento indicado no artigo I.6.</w:t>
      </w:r>
    </w:p>
    <w:p w14:paraId="413F8546" w14:textId="7E98855C"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Considera-se que as notificações formais foram recebidas na data de receção indicada nos elementos de prova recebidos pela parte remetente de que a mensagem foi entregue ao destinatário.</w:t>
      </w:r>
    </w:p>
    <w:p w14:paraId="4601A431" w14:textId="198C86FD" w:rsidR="007A392C" w:rsidRPr="002D2FDF" w:rsidRDefault="00B753BD">
      <w:p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A Comissão pode considerar uma alteração de endereço postal ou eletrónico não comunicada pela outra parte na presente convenção como falta grave em matéria profissional, uma das situações de exclusão referidas no artigo 136.º, n.º 1, alínea c), do Regulamento (UE, Euratom) 2018/1046.</w:t>
      </w:r>
    </w:p>
    <w:p w14:paraId="3CE895C3" w14:textId="77777777" w:rsidR="007A392C" w:rsidRPr="002D2FDF" w:rsidRDefault="00851C95">
      <w:pPr>
        <w:pStyle w:val="Heading2"/>
        <w:rPr>
          <w:rFonts w:ascii="Times New Roman" w:hAnsi="Times New Roman"/>
          <w:lang w:val="pt-PT"/>
        </w:rPr>
      </w:pPr>
      <w:bookmarkStart w:id="12" w:name="_Toc441250827"/>
      <w:bookmarkStart w:id="13" w:name="_Toc446535870"/>
      <w:r w:rsidRPr="002D2FDF">
        <w:rPr>
          <w:rFonts w:ascii="Times New Roman" w:hAnsi="Times New Roman"/>
          <w:lang w:val="pt-PT"/>
        </w:rPr>
        <w:t>Artigo II.4 — Responsabilidade por perdas e danos</w:t>
      </w:r>
      <w:bookmarkEnd w:id="12"/>
      <w:bookmarkEnd w:id="13"/>
    </w:p>
    <w:p w14:paraId="41C63C25" w14:textId="77777777" w:rsidR="007A392C" w:rsidRPr="002D2FDF" w:rsidRDefault="00851C95">
      <w:pPr>
        <w:adjustRightInd w:val="0"/>
        <w:spacing w:line="240" w:lineRule="auto"/>
        <w:ind w:left="709" w:hanging="709"/>
        <w:jc w:val="both"/>
        <w:rPr>
          <w:rFonts w:ascii="Times New Roman" w:hAnsi="Times New Roman"/>
          <w:sz w:val="24"/>
          <w:szCs w:val="24"/>
          <w:lang w:val="pt-PT"/>
        </w:rPr>
      </w:pPr>
      <w:r w:rsidRPr="002D2FDF">
        <w:rPr>
          <w:rFonts w:ascii="Times New Roman" w:hAnsi="Times New Roman"/>
          <w:b/>
          <w:lang w:val="pt-PT"/>
        </w:rPr>
        <w:t>II.4.1</w:t>
      </w:r>
      <w:r w:rsidRPr="002D2FDF">
        <w:rPr>
          <w:rFonts w:ascii="Times New Roman" w:hAnsi="Times New Roman"/>
          <w:lang w:val="pt-PT"/>
        </w:rPr>
        <w:tab/>
        <w:t xml:space="preserve">A Comissão não é responsável por quaisquer danos causados ou sofridos pelo beneficiário, incluindo quaisquer danos causados a terceiros em consequência ou durante a execução da </w:t>
      </w:r>
      <w:r w:rsidRPr="002D2FDF">
        <w:rPr>
          <w:rFonts w:ascii="Times New Roman" w:hAnsi="Times New Roman"/>
          <w:i/>
          <w:lang w:val="pt-PT"/>
        </w:rPr>
        <w:t>ação</w:t>
      </w:r>
      <w:r w:rsidRPr="002D2FDF">
        <w:rPr>
          <w:rFonts w:ascii="Times New Roman" w:hAnsi="Times New Roman"/>
          <w:lang w:val="pt-PT"/>
        </w:rPr>
        <w:t>.</w:t>
      </w:r>
    </w:p>
    <w:p w14:paraId="6CFE3D44" w14:textId="77777777" w:rsidR="007A392C" w:rsidRPr="002D2FDF" w:rsidRDefault="00851C95">
      <w:pPr>
        <w:adjustRightInd w:val="0"/>
        <w:spacing w:line="240" w:lineRule="auto"/>
        <w:ind w:left="709" w:hanging="709"/>
        <w:jc w:val="both"/>
        <w:rPr>
          <w:rFonts w:ascii="Times New Roman" w:hAnsi="Times New Roman"/>
          <w:sz w:val="24"/>
          <w:szCs w:val="24"/>
          <w:lang w:val="pt-PT"/>
        </w:rPr>
      </w:pPr>
      <w:r w:rsidRPr="002D2FDF">
        <w:rPr>
          <w:rFonts w:ascii="Times New Roman" w:hAnsi="Times New Roman"/>
          <w:b/>
          <w:lang w:val="pt-PT"/>
        </w:rPr>
        <w:t>II.4.2</w:t>
      </w:r>
      <w:r w:rsidRPr="002D2FDF">
        <w:rPr>
          <w:rFonts w:ascii="Times New Roman" w:hAnsi="Times New Roman"/>
          <w:lang w:val="pt-PT"/>
        </w:rPr>
        <w:tab/>
        <w:t xml:space="preserve">Salvo em casos de força maior, o beneficiário deve compensar a Comissão pelas perdas e danos por ela sofridos em resultado da execução da </w:t>
      </w:r>
      <w:r w:rsidRPr="002D2FDF">
        <w:rPr>
          <w:rFonts w:ascii="Times New Roman" w:hAnsi="Times New Roman"/>
          <w:i/>
          <w:lang w:val="pt-PT"/>
        </w:rPr>
        <w:t>ação</w:t>
      </w:r>
      <w:r w:rsidRPr="002D2FDF">
        <w:rPr>
          <w:rFonts w:ascii="Times New Roman" w:hAnsi="Times New Roman"/>
          <w:lang w:val="pt-PT"/>
        </w:rPr>
        <w:t xml:space="preserve"> ou pelo facto de a </w:t>
      </w:r>
      <w:r w:rsidRPr="002D2FDF">
        <w:rPr>
          <w:rFonts w:ascii="Times New Roman" w:hAnsi="Times New Roman"/>
          <w:i/>
          <w:lang w:val="pt-PT"/>
        </w:rPr>
        <w:t>ação</w:t>
      </w:r>
      <w:r w:rsidRPr="002D2FDF">
        <w:rPr>
          <w:rFonts w:ascii="Times New Roman" w:hAnsi="Times New Roman"/>
          <w:lang w:val="pt-PT"/>
        </w:rPr>
        <w:t xml:space="preserve"> não ter sido executada em plena conformidade com a convenção.</w:t>
      </w:r>
    </w:p>
    <w:p w14:paraId="70815422" w14:textId="77777777" w:rsidR="007A392C" w:rsidRPr="002D2FDF" w:rsidRDefault="00851C95">
      <w:pPr>
        <w:pStyle w:val="Heading2"/>
        <w:rPr>
          <w:rFonts w:ascii="Times New Roman" w:hAnsi="Times New Roman"/>
          <w:lang w:val="pt-PT"/>
        </w:rPr>
      </w:pPr>
      <w:bookmarkStart w:id="14" w:name="_Toc441250828"/>
      <w:bookmarkStart w:id="15" w:name="_Toc446535871"/>
      <w:r w:rsidRPr="002D2FDF">
        <w:rPr>
          <w:rFonts w:ascii="Times New Roman" w:hAnsi="Times New Roman"/>
          <w:lang w:val="pt-PT"/>
        </w:rPr>
        <w:t>Artigo II.5 — Conflito de interesses</w:t>
      </w:r>
      <w:bookmarkEnd w:id="14"/>
      <w:bookmarkEnd w:id="15"/>
    </w:p>
    <w:p w14:paraId="2C859510" w14:textId="77777777" w:rsidR="007A392C" w:rsidRPr="002D2FDF" w:rsidRDefault="00851C95">
      <w:pPr>
        <w:spacing w:line="240" w:lineRule="auto"/>
        <w:ind w:left="720" w:hanging="720"/>
        <w:jc w:val="both"/>
        <w:rPr>
          <w:rFonts w:ascii="Times New Roman" w:hAnsi="Times New Roman"/>
          <w:sz w:val="24"/>
          <w:szCs w:val="24"/>
          <w:lang w:val="pt-PT"/>
        </w:rPr>
      </w:pPr>
      <w:r w:rsidRPr="002D2FDF">
        <w:rPr>
          <w:rFonts w:ascii="Times New Roman" w:hAnsi="Times New Roman"/>
          <w:b/>
          <w:lang w:val="pt-PT"/>
        </w:rPr>
        <w:t>II.5.1</w:t>
      </w:r>
      <w:r w:rsidRPr="002D2FDF">
        <w:rPr>
          <w:rFonts w:ascii="Times New Roman" w:hAnsi="Times New Roman"/>
          <w:lang w:val="pt-PT"/>
        </w:rPr>
        <w:tab/>
        <w:t xml:space="preserve">O beneficiário deve tomar todas as medidas necessárias para evitar situações de </w:t>
      </w:r>
      <w:r w:rsidRPr="002D2FDF">
        <w:rPr>
          <w:rFonts w:ascii="Times New Roman" w:hAnsi="Times New Roman"/>
          <w:i/>
          <w:lang w:val="pt-PT"/>
        </w:rPr>
        <w:t>conflito de interesses.</w:t>
      </w:r>
    </w:p>
    <w:p w14:paraId="1BB45245" w14:textId="77777777" w:rsidR="007A392C" w:rsidRPr="002D2FDF" w:rsidRDefault="00851C95">
      <w:pPr>
        <w:spacing w:line="240" w:lineRule="auto"/>
        <w:ind w:left="720" w:hanging="720"/>
        <w:jc w:val="both"/>
        <w:rPr>
          <w:rFonts w:ascii="Times New Roman" w:hAnsi="Times New Roman"/>
          <w:sz w:val="24"/>
          <w:szCs w:val="24"/>
          <w:lang w:val="pt-PT"/>
        </w:rPr>
      </w:pPr>
      <w:r w:rsidRPr="002D2FDF">
        <w:rPr>
          <w:rFonts w:ascii="Times New Roman" w:hAnsi="Times New Roman"/>
          <w:b/>
          <w:lang w:val="pt-PT"/>
        </w:rPr>
        <w:t>II.5.2</w:t>
      </w:r>
      <w:r w:rsidRPr="002D2FDF">
        <w:rPr>
          <w:rFonts w:ascii="Times New Roman" w:hAnsi="Times New Roman"/>
          <w:lang w:val="pt-PT"/>
        </w:rPr>
        <w:tab/>
        <w:t xml:space="preserve">O beneficiário deve informar a Comissão sem demora de qualquer situação que constitua ou possa conduzir a um </w:t>
      </w:r>
      <w:r w:rsidRPr="002D2FDF">
        <w:rPr>
          <w:rFonts w:ascii="Times New Roman" w:hAnsi="Times New Roman"/>
          <w:i/>
          <w:lang w:val="pt-PT"/>
        </w:rPr>
        <w:t>conflito de interesses</w:t>
      </w:r>
      <w:r w:rsidRPr="002D2FDF">
        <w:rPr>
          <w:rFonts w:ascii="Times New Roman" w:hAnsi="Times New Roman"/>
          <w:lang w:val="pt-PT"/>
        </w:rPr>
        <w:t>. Deve ainda tomar imediatamente todas as medidas necessárias para corrigir essa situação.</w:t>
      </w:r>
    </w:p>
    <w:p w14:paraId="6FC4D12B" w14:textId="77777777" w:rsidR="007A392C" w:rsidRPr="002D2FDF" w:rsidRDefault="00851C95">
      <w:pPr>
        <w:spacing w:line="240" w:lineRule="auto"/>
        <w:ind w:left="720"/>
        <w:jc w:val="both"/>
        <w:rPr>
          <w:rFonts w:ascii="Times New Roman" w:hAnsi="Times New Roman"/>
          <w:sz w:val="24"/>
          <w:szCs w:val="24"/>
          <w:lang w:val="pt-PT"/>
        </w:rPr>
      </w:pPr>
      <w:r w:rsidRPr="002D2FDF">
        <w:rPr>
          <w:rFonts w:ascii="Times New Roman" w:hAnsi="Times New Roman"/>
          <w:lang w:val="pt-PT"/>
        </w:rPr>
        <w:t>A Comissão pode verificar se as medidas tomadas são adequadas e pode exigir que sejam adotadas medidas adicionais dentro de um determinado prazo.</w:t>
      </w:r>
    </w:p>
    <w:p w14:paraId="6C994FFC" w14:textId="77777777" w:rsidR="007A392C" w:rsidRPr="002D2FDF" w:rsidRDefault="00851C95">
      <w:pPr>
        <w:pStyle w:val="Heading2"/>
        <w:rPr>
          <w:rFonts w:ascii="Times New Roman" w:hAnsi="Times New Roman"/>
          <w:lang w:val="pt-PT"/>
        </w:rPr>
      </w:pPr>
      <w:bookmarkStart w:id="16" w:name="_Toc441250829"/>
      <w:bookmarkStart w:id="17" w:name="_Toc446535872"/>
      <w:r w:rsidRPr="002D2FDF">
        <w:rPr>
          <w:rFonts w:ascii="Times New Roman" w:hAnsi="Times New Roman"/>
          <w:lang w:val="pt-PT"/>
        </w:rPr>
        <w:t>Artigo II.6 — Confidencialidade</w:t>
      </w:r>
      <w:bookmarkEnd w:id="16"/>
      <w:bookmarkEnd w:id="17"/>
    </w:p>
    <w:p w14:paraId="509E7001" w14:textId="77777777" w:rsidR="007A392C" w:rsidRPr="002D2FDF" w:rsidRDefault="00851C95">
      <w:pPr>
        <w:spacing w:line="240" w:lineRule="auto"/>
        <w:ind w:left="720" w:hanging="720"/>
        <w:jc w:val="both"/>
        <w:rPr>
          <w:rFonts w:ascii="Times New Roman" w:hAnsi="Times New Roman"/>
          <w:sz w:val="24"/>
          <w:szCs w:val="24"/>
          <w:lang w:val="pt-PT"/>
        </w:rPr>
      </w:pPr>
      <w:r w:rsidRPr="002D2FDF">
        <w:rPr>
          <w:rFonts w:ascii="Times New Roman" w:hAnsi="Times New Roman"/>
          <w:b/>
          <w:lang w:val="pt-PT"/>
        </w:rPr>
        <w:t>II.6.1</w:t>
      </w:r>
      <w:r w:rsidRPr="002D2FDF">
        <w:rPr>
          <w:rFonts w:ascii="Times New Roman" w:hAnsi="Times New Roman"/>
          <w:b/>
          <w:lang w:val="pt-PT"/>
        </w:rPr>
        <w:tab/>
      </w:r>
      <w:r w:rsidRPr="002D2FDF">
        <w:rPr>
          <w:rFonts w:ascii="Times New Roman" w:hAnsi="Times New Roman"/>
          <w:lang w:val="pt-PT"/>
        </w:rPr>
        <w:t xml:space="preserve">Durante a execução da </w:t>
      </w:r>
      <w:r w:rsidRPr="002D2FDF">
        <w:rPr>
          <w:rFonts w:ascii="Times New Roman" w:hAnsi="Times New Roman"/>
          <w:i/>
          <w:lang w:val="pt-PT"/>
        </w:rPr>
        <w:t>ação</w:t>
      </w:r>
      <w:r w:rsidRPr="002D2FDF">
        <w:rPr>
          <w:rFonts w:ascii="Times New Roman" w:hAnsi="Times New Roman"/>
          <w:lang w:val="pt-PT"/>
        </w:rPr>
        <w:t xml:space="preserve"> e por um período de cinco anos após o pagamento do saldo, as partes devem tratar com confidencialidade todas as </w:t>
      </w:r>
      <w:r w:rsidRPr="002D2FDF">
        <w:rPr>
          <w:rFonts w:ascii="Times New Roman" w:hAnsi="Times New Roman"/>
          <w:i/>
          <w:lang w:val="pt-PT"/>
        </w:rPr>
        <w:t>informações e documentos confidenciais.</w:t>
      </w:r>
    </w:p>
    <w:p w14:paraId="693BC122" w14:textId="77777777" w:rsidR="007A392C" w:rsidRPr="002D2FDF" w:rsidRDefault="00851C95">
      <w:pPr>
        <w:spacing w:line="240" w:lineRule="auto"/>
        <w:ind w:left="720" w:hanging="720"/>
        <w:jc w:val="both"/>
        <w:rPr>
          <w:rFonts w:ascii="Times New Roman" w:hAnsi="Times New Roman"/>
          <w:sz w:val="24"/>
          <w:szCs w:val="24"/>
          <w:lang w:val="pt-PT"/>
        </w:rPr>
      </w:pPr>
      <w:r w:rsidRPr="002D2FDF">
        <w:rPr>
          <w:rFonts w:ascii="Times New Roman" w:hAnsi="Times New Roman"/>
          <w:b/>
          <w:lang w:val="pt-PT"/>
        </w:rPr>
        <w:t>II.6.2</w:t>
      </w:r>
      <w:r w:rsidRPr="002D2FDF">
        <w:rPr>
          <w:rFonts w:ascii="Times New Roman" w:hAnsi="Times New Roman"/>
          <w:lang w:val="pt-PT"/>
        </w:rPr>
        <w:tab/>
        <w:t xml:space="preserve">As partes só podem utilizar as </w:t>
      </w:r>
      <w:r w:rsidRPr="002D2FDF">
        <w:rPr>
          <w:rFonts w:ascii="Times New Roman" w:hAnsi="Times New Roman"/>
          <w:i/>
          <w:lang w:val="pt-PT"/>
        </w:rPr>
        <w:t>informações e os documentos confidenciais</w:t>
      </w:r>
      <w:r w:rsidRPr="002D2FDF">
        <w:rPr>
          <w:rFonts w:ascii="Times New Roman" w:hAnsi="Times New Roman"/>
          <w:lang w:val="pt-PT"/>
        </w:rPr>
        <w:t xml:space="preserve"> por qualquer motivo diferente do cumprimento das suas obrigações decorrentes da convenção se tiverem obtido o acordo prévio, por escrito, da outra parte.</w:t>
      </w:r>
    </w:p>
    <w:p w14:paraId="346D2F56"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b/>
          <w:lang w:val="pt-PT"/>
        </w:rPr>
        <w:t>II.6.3</w:t>
      </w:r>
      <w:r w:rsidRPr="002D2FDF">
        <w:rPr>
          <w:rFonts w:ascii="Times New Roman" w:hAnsi="Times New Roman"/>
          <w:lang w:val="pt-PT"/>
        </w:rPr>
        <w:tab/>
        <w:t>As obrigações de confidencialidade deixam de ser aplicáveis se:</w:t>
      </w:r>
    </w:p>
    <w:p w14:paraId="5BBDC4FE" w14:textId="77777777" w:rsidR="007A392C" w:rsidRPr="002D2FDF" w:rsidRDefault="00851C95">
      <w:pPr>
        <w:numPr>
          <w:ilvl w:val="0"/>
          <w:numId w:val="18"/>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A parte que comunicou as informações concordar em desvincular a outra parte dessas obrigações;</w:t>
      </w:r>
    </w:p>
    <w:p w14:paraId="1A3B1A72" w14:textId="77777777" w:rsidR="007A392C" w:rsidRPr="002D2FDF" w:rsidRDefault="00851C95">
      <w:pPr>
        <w:numPr>
          <w:ilvl w:val="0"/>
          <w:numId w:val="18"/>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As </w:t>
      </w:r>
      <w:r w:rsidRPr="002D2FDF">
        <w:rPr>
          <w:rFonts w:ascii="Times New Roman" w:hAnsi="Times New Roman"/>
          <w:i/>
          <w:lang w:val="pt-PT"/>
        </w:rPr>
        <w:t>informações ou os documentos confidenciais</w:t>
      </w:r>
      <w:r w:rsidRPr="002D2FDF">
        <w:rPr>
          <w:rFonts w:ascii="Times New Roman" w:hAnsi="Times New Roman"/>
          <w:lang w:val="pt-PT"/>
        </w:rPr>
        <w:t xml:space="preserve"> se tornarem públicos por outros meios que não representem uma violação da obrigação de confidencialidade;</w:t>
      </w:r>
    </w:p>
    <w:p w14:paraId="6872368B" w14:textId="77777777" w:rsidR="007A392C" w:rsidRPr="002D2FDF" w:rsidRDefault="00851C95">
      <w:pPr>
        <w:numPr>
          <w:ilvl w:val="0"/>
          <w:numId w:val="18"/>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A divulgação das </w:t>
      </w:r>
      <w:r w:rsidRPr="002D2FDF">
        <w:rPr>
          <w:rFonts w:ascii="Times New Roman" w:hAnsi="Times New Roman"/>
          <w:i/>
          <w:lang w:val="pt-PT"/>
        </w:rPr>
        <w:t>informações ou dos documentos confidenciais</w:t>
      </w:r>
      <w:r w:rsidRPr="002D2FDF">
        <w:rPr>
          <w:rFonts w:ascii="Times New Roman" w:hAnsi="Times New Roman"/>
          <w:lang w:val="pt-PT"/>
        </w:rPr>
        <w:t xml:space="preserve"> for exigida por  lei.</w:t>
      </w:r>
    </w:p>
    <w:p w14:paraId="00A35601" w14:textId="77777777" w:rsidR="007A392C" w:rsidRPr="002D2FDF" w:rsidRDefault="00851C95">
      <w:pPr>
        <w:pStyle w:val="Heading2"/>
        <w:rPr>
          <w:rFonts w:ascii="Times New Roman" w:hAnsi="Times New Roman"/>
          <w:lang w:val="pt-PT"/>
        </w:rPr>
      </w:pPr>
      <w:bookmarkStart w:id="18" w:name="_Toc441250830"/>
      <w:bookmarkStart w:id="19" w:name="_Toc446535873"/>
      <w:r w:rsidRPr="002D2FDF">
        <w:rPr>
          <w:rFonts w:ascii="Times New Roman" w:hAnsi="Times New Roman"/>
          <w:lang w:val="pt-PT"/>
        </w:rPr>
        <w:t>Artigo II.7 — Tratamento de dados pessoais</w:t>
      </w:r>
      <w:bookmarkEnd w:id="18"/>
      <w:bookmarkEnd w:id="19"/>
    </w:p>
    <w:p w14:paraId="1527203C" w14:textId="0E77E565" w:rsidR="007A392C" w:rsidRPr="002D2FDF" w:rsidRDefault="00851C95">
      <w:pPr>
        <w:pStyle w:val="Heading3"/>
        <w:jc w:val="both"/>
        <w:rPr>
          <w:rFonts w:ascii="Times New Roman" w:hAnsi="Times New Roman"/>
          <w:lang w:val="pt-PT"/>
        </w:rPr>
      </w:pPr>
      <w:bookmarkStart w:id="20" w:name="_Toc441250831"/>
      <w:bookmarkStart w:id="21" w:name="_Toc446535874"/>
      <w:r w:rsidRPr="002D2FDF">
        <w:rPr>
          <w:rFonts w:ascii="Times New Roman" w:hAnsi="Times New Roman"/>
          <w:lang w:val="pt-PT"/>
        </w:rPr>
        <w:t>II.7.1</w:t>
      </w:r>
      <w:r w:rsidRPr="002D2FDF">
        <w:rPr>
          <w:rFonts w:ascii="Times New Roman" w:hAnsi="Times New Roman"/>
          <w:lang w:val="pt-PT"/>
        </w:rPr>
        <w:tab/>
        <w:t>Tratamento de dados pessoais pela Comissão</w:t>
      </w:r>
      <w:bookmarkEnd w:id="20"/>
      <w:bookmarkEnd w:id="21"/>
    </w:p>
    <w:p w14:paraId="190C564C" w14:textId="2B14345B" w:rsidR="007A392C" w:rsidRPr="002D2FDF" w:rsidRDefault="002B19F1">
      <w:p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Os dados pessoais incluídos na convenção são tratados pela Comissão em conformidade com o Regulamento (UE) 2018/1725</w:t>
      </w:r>
      <w:r>
        <w:rPr>
          <w:rStyle w:val="FootnoteReference"/>
          <w:rFonts w:ascii="Times New Roman" w:hAnsi="Times New Roman"/>
        </w:rPr>
        <w:footnoteReference w:id="1"/>
      </w:r>
      <w:r w:rsidRPr="002D2FDF">
        <w:rPr>
          <w:rFonts w:ascii="Times New Roman" w:hAnsi="Times New Roman"/>
          <w:lang w:val="pt-PT"/>
        </w:rPr>
        <w:t>.</w:t>
      </w:r>
    </w:p>
    <w:p w14:paraId="09575EF1" w14:textId="2E0D6267" w:rsidR="007A392C" w:rsidRPr="002D2FDF" w:rsidRDefault="00851C95">
      <w:pPr>
        <w:spacing w:line="240" w:lineRule="auto"/>
        <w:jc w:val="both"/>
        <w:rPr>
          <w:rFonts w:ascii="Times New Roman" w:hAnsi="Times New Roman"/>
          <w:color w:val="000000"/>
          <w:sz w:val="24"/>
          <w:szCs w:val="24"/>
          <w:lang w:val="pt-PT"/>
        </w:rPr>
      </w:pPr>
      <w:r w:rsidRPr="002D2FDF">
        <w:rPr>
          <w:rFonts w:ascii="Times New Roman" w:hAnsi="Times New Roman"/>
          <w:lang w:val="pt-PT"/>
        </w:rPr>
        <w:t>Os dados supramencionados devem ser tratados pelo responsável pelo tratamento de dados identificado no artigo I.6, exclusivamente para efeitos da execução, gestão e acompanhamento da convenção ou para proteger os interesses financeiros da UE, incluindo verificações, auditorias e investigações em conformidade com o artigo II.27.</w:t>
      </w:r>
    </w:p>
    <w:p w14:paraId="77E1FDA8" w14:textId="4F48AA10"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O beneficiário tem o direito de aceder,</w:t>
      </w:r>
      <w:r w:rsidRPr="002D2FDF">
        <w:rPr>
          <w:lang w:val="pt-PT"/>
        </w:rPr>
        <w:t xml:space="preserve"> </w:t>
      </w:r>
      <w:r w:rsidRPr="002D2FDF">
        <w:rPr>
          <w:rFonts w:ascii="Times New Roman" w:hAnsi="Times New Roman"/>
          <w:lang w:val="pt-PT"/>
        </w:rPr>
        <w:t>retificar ou apagar os seus próprios dados pessoais e o direito de restringir ou, se for caso disso, o direito de portabilidade dos dados ou o direito de oposição ao tratamento de dados nos termos do Regulamento (UE) 2018/1725. Para o efeito, deve enviar quaisquer pedidos de informação sobre o tratamento dos seus dados pessoais à entidade responsável pelo tratamento de dados identificada no artigo I.6.</w:t>
      </w:r>
    </w:p>
    <w:p w14:paraId="33CCFDC5"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O beneficiário tem o direito de interpor recurso, a qualquer momento, junto da Autoridade Europeia para a Proteção de Dados.</w:t>
      </w:r>
    </w:p>
    <w:p w14:paraId="5A3047CE" w14:textId="77777777" w:rsidR="007A392C" w:rsidRPr="002D2FDF" w:rsidRDefault="00851C95">
      <w:pPr>
        <w:pStyle w:val="Heading3"/>
        <w:jc w:val="both"/>
        <w:rPr>
          <w:rFonts w:ascii="Times New Roman" w:hAnsi="Times New Roman"/>
          <w:lang w:val="pt-PT"/>
        </w:rPr>
      </w:pPr>
      <w:bookmarkStart w:id="22" w:name="_Toc441250832"/>
      <w:bookmarkStart w:id="23" w:name="_Toc446535875"/>
      <w:r w:rsidRPr="002D2FDF">
        <w:rPr>
          <w:rFonts w:ascii="Times New Roman" w:hAnsi="Times New Roman"/>
          <w:lang w:val="pt-PT"/>
        </w:rPr>
        <w:t>II.7.2</w:t>
      </w:r>
      <w:r w:rsidRPr="002D2FDF">
        <w:rPr>
          <w:rFonts w:ascii="Times New Roman" w:hAnsi="Times New Roman"/>
          <w:lang w:val="pt-PT"/>
        </w:rPr>
        <w:tab/>
        <w:t xml:space="preserve">Tratamento de dados pessoais pelo </w:t>
      </w:r>
      <w:bookmarkEnd w:id="22"/>
      <w:r w:rsidRPr="002D2FDF">
        <w:rPr>
          <w:rFonts w:ascii="Times New Roman" w:hAnsi="Times New Roman"/>
          <w:lang w:val="pt-PT"/>
        </w:rPr>
        <w:t>beneficiário</w:t>
      </w:r>
      <w:bookmarkEnd w:id="23"/>
    </w:p>
    <w:p w14:paraId="093F907E"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O beneficiário deve proceder ao tratamento dos dados pessoais ao abrigo da convenção em conformidade com o direito da UE e o direito nacional aplicáveis em matéria de proteção de dados (incluindo autorizações ou requisitos de notificação).</w:t>
      </w:r>
    </w:p>
    <w:p w14:paraId="6696DF67" w14:textId="4585B4FF"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O beneficiário pode conceder ao seu pessoal acesso apenas aos dados que sejam estritamente necessários para a execução, gestão e acompanhamento da convenção. O beneficiário deve garantir que o pessoal autorizado a proceder ao tratamento de dados pessoais se comprometeu a respeitar a confidencialidade ou está sujeito a uma obrigação legal de confidencialidade adequada.</w:t>
      </w:r>
    </w:p>
    <w:p w14:paraId="45056402" w14:textId="3F1C5F6A" w:rsidR="007A392C" w:rsidRDefault="00851C95">
      <w:pPr>
        <w:spacing w:line="240" w:lineRule="auto"/>
        <w:jc w:val="both"/>
        <w:rPr>
          <w:rFonts w:ascii="Times New Roman" w:hAnsi="Times New Roman"/>
          <w:color w:val="000000"/>
          <w:sz w:val="24"/>
          <w:szCs w:val="24"/>
        </w:rPr>
      </w:pPr>
      <w:r w:rsidRPr="002D2FDF">
        <w:rPr>
          <w:rFonts w:ascii="Times New Roman" w:hAnsi="Times New Roman"/>
          <w:lang w:val="pt-PT"/>
        </w:rPr>
        <w:t xml:space="preserve">O beneficiário deve adotar medidas de segurança adequadas, a nível técnico e organizacional, tendo em conta os riscos inerentes ao tratamento e à natureza, ao âmbito, ao contexto e aos propósitos dos dados pessoais em causa. </w:t>
      </w:r>
      <w:r>
        <w:rPr>
          <w:rFonts w:ascii="Times New Roman" w:hAnsi="Times New Roman"/>
        </w:rPr>
        <w:t>Estas medidas visam assegurar, consoante o caso:</w:t>
      </w:r>
    </w:p>
    <w:p w14:paraId="7D66C10A" w14:textId="77777777" w:rsidR="007A392C" w:rsidRPr="002D2FDF" w:rsidRDefault="007A04A1">
      <w:pPr>
        <w:numPr>
          <w:ilvl w:val="0"/>
          <w:numId w:val="19"/>
        </w:numPr>
        <w:spacing w:after="0" w:line="240" w:lineRule="auto"/>
        <w:jc w:val="both"/>
        <w:rPr>
          <w:rFonts w:ascii="Times New Roman" w:hAnsi="Times New Roman"/>
          <w:sz w:val="24"/>
          <w:szCs w:val="24"/>
          <w:lang w:val="pt-PT"/>
        </w:rPr>
      </w:pPr>
      <w:r w:rsidRPr="002D2FDF">
        <w:rPr>
          <w:rFonts w:ascii="Times New Roman" w:hAnsi="Times New Roman"/>
          <w:lang w:val="pt-PT"/>
        </w:rPr>
        <w:t>A pseudonimização e a cifragem dos dados pessoais;</w:t>
      </w:r>
    </w:p>
    <w:p w14:paraId="6A088A07" w14:textId="77777777" w:rsidR="007A392C" w:rsidRPr="002D2FDF" w:rsidRDefault="007A392C">
      <w:pPr>
        <w:spacing w:after="0" w:line="240" w:lineRule="auto"/>
        <w:ind w:left="720"/>
        <w:jc w:val="both"/>
        <w:rPr>
          <w:rFonts w:ascii="Times New Roman" w:hAnsi="Times New Roman"/>
          <w:sz w:val="24"/>
          <w:szCs w:val="24"/>
          <w:lang w:val="pt-PT"/>
        </w:rPr>
      </w:pPr>
    </w:p>
    <w:p w14:paraId="64A40FDF" w14:textId="77777777" w:rsidR="007A392C" w:rsidRPr="002D2FDF" w:rsidRDefault="007A04A1">
      <w:pPr>
        <w:numPr>
          <w:ilvl w:val="0"/>
          <w:numId w:val="19"/>
        </w:numPr>
        <w:spacing w:after="0" w:line="240" w:lineRule="auto"/>
        <w:jc w:val="both"/>
        <w:rPr>
          <w:rFonts w:ascii="Times New Roman" w:hAnsi="Times New Roman"/>
          <w:sz w:val="24"/>
          <w:szCs w:val="24"/>
          <w:lang w:val="pt-PT"/>
        </w:rPr>
      </w:pPr>
      <w:r w:rsidRPr="002D2FDF">
        <w:rPr>
          <w:rFonts w:ascii="Times New Roman" w:hAnsi="Times New Roman"/>
          <w:lang w:val="pt-PT"/>
        </w:rPr>
        <w:t>A capacidade de assegurar a confidencialidade, a integridade, a disponibilidade e a resiliência permanentes dos sistemas e dos serviços de tratamento;</w:t>
      </w:r>
    </w:p>
    <w:p w14:paraId="0501DC58" w14:textId="77777777" w:rsidR="007A392C" w:rsidRPr="002D2FDF" w:rsidRDefault="007A392C">
      <w:pPr>
        <w:spacing w:after="0" w:line="240" w:lineRule="auto"/>
        <w:ind w:left="720"/>
        <w:jc w:val="both"/>
        <w:rPr>
          <w:rFonts w:ascii="Times New Roman" w:hAnsi="Times New Roman"/>
          <w:sz w:val="24"/>
          <w:szCs w:val="24"/>
          <w:lang w:val="pt-PT"/>
        </w:rPr>
      </w:pPr>
    </w:p>
    <w:p w14:paraId="336ED8E3" w14:textId="77777777" w:rsidR="007A392C" w:rsidRPr="002D2FDF" w:rsidRDefault="007A04A1">
      <w:pPr>
        <w:numPr>
          <w:ilvl w:val="0"/>
          <w:numId w:val="19"/>
        </w:numPr>
        <w:spacing w:after="0" w:line="240" w:lineRule="auto"/>
        <w:jc w:val="both"/>
        <w:rPr>
          <w:rFonts w:ascii="Times New Roman" w:hAnsi="Times New Roman"/>
          <w:sz w:val="24"/>
          <w:szCs w:val="24"/>
          <w:lang w:val="pt-PT"/>
        </w:rPr>
      </w:pPr>
      <w:r w:rsidRPr="002D2FDF">
        <w:rPr>
          <w:rFonts w:ascii="Times New Roman" w:hAnsi="Times New Roman"/>
          <w:lang w:val="pt-PT"/>
        </w:rPr>
        <w:t>A capacidade de restabelecer atempadamente a disponibilidade e o acesso aos dados pessoais em caso de incidente físico ou técnico;</w:t>
      </w:r>
    </w:p>
    <w:p w14:paraId="3E8349CB" w14:textId="77777777" w:rsidR="007A392C" w:rsidRPr="002D2FDF" w:rsidRDefault="007A392C">
      <w:pPr>
        <w:spacing w:after="0" w:line="240" w:lineRule="auto"/>
        <w:ind w:left="720"/>
        <w:jc w:val="both"/>
        <w:rPr>
          <w:rFonts w:ascii="Times New Roman" w:hAnsi="Times New Roman"/>
          <w:sz w:val="24"/>
          <w:szCs w:val="24"/>
          <w:lang w:val="pt-PT"/>
        </w:rPr>
      </w:pPr>
    </w:p>
    <w:p w14:paraId="4DB2B59B" w14:textId="77777777" w:rsidR="007A392C" w:rsidRPr="002D2FDF" w:rsidRDefault="007A04A1">
      <w:pPr>
        <w:pStyle w:val="ListParagraph"/>
        <w:numPr>
          <w:ilvl w:val="0"/>
          <w:numId w:val="19"/>
        </w:numPr>
        <w:spacing w:after="0"/>
        <w:jc w:val="both"/>
        <w:rPr>
          <w:rFonts w:ascii="Times New Roman" w:hAnsi="Times New Roman"/>
          <w:sz w:val="24"/>
          <w:szCs w:val="24"/>
          <w:lang w:val="pt-PT"/>
        </w:rPr>
      </w:pPr>
      <w:r w:rsidRPr="002D2FDF">
        <w:rPr>
          <w:rFonts w:ascii="Times New Roman" w:hAnsi="Times New Roman"/>
          <w:lang w:val="pt-PT"/>
        </w:rPr>
        <w:t>Um processo para testar, apreciar e avaliar periodicamente a eficácia das medidas técnicas e organizativas para garantir a segurança do tratamento;</w:t>
      </w:r>
    </w:p>
    <w:p w14:paraId="5BEDD260" w14:textId="77777777" w:rsidR="007A392C" w:rsidRPr="002D2FDF" w:rsidRDefault="007A392C">
      <w:pPr>
        <w:pStyle w:val="ListParagraph"/>
        <w:spacing w:after="0"/>
        <w:rPr>
          <w:rFonts w:ascii="Times New Roman" w:hAnsi="Times New Roman"/>
          <w:sz w:val="24"/>
          <w:szCs w:val="24"/>
          <w:lang w:val="pt-PT"/>
        </w:rPr>
      </w:pPr>
    </w:p>
    <w:p w14:paraId="4DAC8943" w14:textId="77777777" w:rsidR="007A392C" w:rsidRPr="002D2FDF" w:rsidRDefault="007A04A1">
      <w:pPr>
        <w:pStyle w:val="ListParagraph"/>
        <w:numPr>
          <w:ilvl w:val="0"/>
          <w:numId w:val="19"/>
        </w:numPr>
        <w:spacing w:after="0"/>
        <w:jc w:val="both"/>
        <w:rPr>
          <w:rFonts w:ascii="Times New Roman" w:hAnsi="Times New Roman"/>
          <w:sz w:val="24"/>
          <w:szCs w:val="24"/>
          <w:lang w:val="pt-PT"/>
        </w:rPr>
      </w:pPr>
      <w:r w:rsidRPr="002D2FDF">
        <w:rPr>
          <w:rFonts w:ascii="Times New Roman" w:hAnsi="Times New Roman"/>
          <w:lang w:val="pt-PT"/>
        </w:rPr>
        <w:t>A proteção dos dados pessoais da destruição, da perda, da alteração, da divulgação ou do acesso não autorizados, de modo acidental ou ilícito, a dados pessoais transmitidos, conservados ou sujeitos a qualquer outro tipo de tratamento.</w:t>
      </w:r>
    </w:p>
    <w:p w14:paraId="4916C8B3" w14:textId="77777777" w:rsidR="007A392C" w:rsidRPr="002D2FDF" w:rsidRDefault="00851C95">
      <w:pPr>
        <w:pStyle w:val="Heading2"/>
        <w:rPr>
          <w:rFonts w:ascii="Times New Roman" w:hAnsi="Times New Roman"/>
          <w:lang w:val="pt-PT"/>
        </w:rPr>
      </w:pPr>
      <w:bookmarkStart w:id="24" w:name="_Toc441250833"/>
      <w:bookmarkStart w:id="25" w:name="_Toc446535876"/>
      <w:r w:rsidRPr="002D2FDF">
        <w:rPr>
          <w:rFonts w:ascii="Times New Roman" w:hAnsi="Times New Roman"/>
          <w:lang w:val="pt-PT"/>
        </w:rPr>
        <w:t>Artigo II.8 — Visibilidade do financiamento da união</w:t>
      </w:r>
      <w:bookmarkEnd w:id="24"/>
      <w:bookmarkEnd w:id="25"/>
    </w:p>
    <w:p w14:paraId="0A1E5C10" w14:textId="70D70778" w:rsidR="007A392C" w:rsidRPr="002D2FDF" w:rsidRDefault="00851C95">
      <w:pPr>
        <w:pStyle w:val="Heading3"/>
        <w:jc w:val="both"/>
        <w:rPr>
          <w:rFonts w:ascii="Times New Roman" w:hAnsi="Times New Roman"/>
          <w:lang w:val="pt-PT"/>
        </w:rPr>
      </w:pPr>
      <w:bookmarkStart w:id="26" w:name="_Toc441250834"/>
      <w:bookmarkStart w:id="27" w:name="_Toc446535877"/>
      <w:r w:rsidRPr="002D2FDF">
        <w:rPr>
          <w:rFonts w:ascii="Times New Roman" w:hAnsi="Times New Roman"/>
          <w:lang w:val="pt-PT"/>
        </w:rPr>
        <w:t>II.8.1</w:t>
      </w:r>
      <w:r w:rsidRPr="002D2FDF">
        <w:rPr>
          <w:rFonts w:ascii="Times New Roman" w:hAnsi="Times New Roman"/>
          <w:lang w:val="pt-PT"/>
        </w:rPr>
        <w:tab/>
        <w:t>Informações sobre o financiamento da União e a utilização do símbolo da União Europeia</w:t>
      </w:r>
      <w:bookmarkEnd w:id="26"/>
      <w:bookmarkEnd w:id="27"/>
    </w:p>
    <w:p w14:paraId="49BE8DE8" w14:textId="77777777" w:rsidR="007A392C" w:rsidRPr="002D2FDF" w:rsidRDefault="00851C95">
      <w:pPr>
        <w:spacing w:after="0" w:line="240" w:lineRule="auto"/>
        <w:jc w:val="both"/>
        <w:rPr>
          <w:rFonts w:ascii="Times New Roman" w:hAnsi="Times New Roman"/>
          <w:sz w:val="24"/>
          <w:szCs w:val="24"/>
          <w:lang w:val="pt-PT"/>
        </w:rPr>
      </w:pPr>
      <w:r w:rsidRPr="002D2FDF">
        <w:rPr>
          <w:rFonts w:ascii="Times New Roman" w:hAnsi="Times New Roman"/>
          <w:lang w:val="pt-PT"/>
        </w:rPr>
        <w:t xml:space="preserve">Salvo pedido ou acordo em contrário por parte da Comissão, qualquer comunicação ou publicação do beneficiário relacionada com a </w:t>
      </w:r>
      <w:r w:rsidRPr="002D2FDF">
        <w:rPr>
          <w:rFonts w:ascii="Times New Roman" w:hAnsi="Times New Roman"/>
          <w:i/>
          <w:lang w:val="pt-PT"/>
        </w:rPr>
        <w:t>ação</w:t>
      </w:r>
      <w:r w:rsidRPr="002D2FDF">
        <w:rPr>
          <w:rFonts w:ascii="Times New Roman" w:hAnsi="Times New Roman"/>
          <w:lang w:val="pt-PT"/>
        </w:rPr>
        <w:t>, incluindo em conferências, seminários ou em qualquer informação ou material promocional (como brochuras, panfletos, cartazes, apresentações, em formato digital ou não, etc.), deve:</w:t>
      </w:r>
    </w:p>
    <w:p w14:paraId="2E56CAAF" w14:textId="77777777" w:rsidR="007A392C" w:rsidRPr="002D2FDF" w:rsidRDefault="00851C95">
      <w:pPr>
        <w:numPr>
          <w:ilvl w:val="0"/>
          <w:numId w:val="21"/>
        </w:numPr>
        <w:spacing w:before="120" w:after="120" w:line="240" w:lineRule="auto"/>
        <w:jc w:val="both"/>
        <w:rPr>
          <w:rFonts w:ascii="Times New Roman" w:hAnsi="Times New Roman"/>
          <w:sz w:val="24"/>
          <w:szCs w:val="24"/>
          <w:lang w:val="pt-PT"/>
        </w:rPr>
      </w:pPr>
      <w:r w:rsidRPr="002D2FDF">
        <w:rPr>
          <w:rFonts w:ascii="Times New Roman" w:hAnsi="Times New Roman"/>
          <w:lang w:val="pt-PT"/>
        </w:rPr>
        <w:t xml:space="preserve">Indicar que a </w:t>
      </w:r>
      <w:r w:rsidRPr="002D2FDF">
        <w:rPr>
          <w:rFonts w:ascii="Times New Roman" w:hAnsi="Times New Roman"/>
          <w:i/>
          <w:lang w:val="pt-PT"/>
        </w:rPr>
        <w:t>ação</w:t>
      </w:r>
      <w:r w:rsidRPr="002D2FDF">
        <w:rPr>
          <w:rFonts w:ascii="Times New Roman" w:hAnsi="Times New Roman"/>
          <w:lang w:val="pt-PT"/>
        </w:rPr>
        <w:t xml:space="preserve"> recebeu apoio financeiro da União; e</w:t>
      </w:r>
    </w:p>
    <w:p w14:paraId="52AA6767" w14:textId="77777777" w:rsidR="007A392C" w:rsidRPr="002D2FDF" w:rsidRDefault="00851C95">
      <w:pPr>
        <w:numPr>
          <w:ilvl w:val="0"/>
          <w:numId w:val="21"/>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Incluir o emblema da União Europeia.</w:t>
      </w:r>
    </w:p>
    <w:p w14:paraId="6E4DAD5C" w14:textId="77777777" w:rsidR="007A392C" w:rsidRPr="002D2FDF" w:rsidRDefault="00851C95">
      <w:pPr>
        <w:spacing w:before="240" w:line="240" w:lineRule="auto"/>
        <w:jc w:val="both"/>
        <w:rPr>
          <w:rFonts w:ascii="Times New Roman" w:hAnsi="Times New Roman"/>
          <w:sz w:val="24"/>
          <w:szCs w:val="24"/>
          <w:lang w:val="pt-PT"/>
        </w:rPr>
      </w:pPr>
      <w:r w:rsidRPr="002D2FDF">
        <w:rPr>
          <w:rFonts w:ascii="Times New Roman" w:hAnsi="Times New Roman"/>
          <w:lang w:val="pt-PT"/>
        </w:rPr>
        <w:t>Quando exibido em associação com outro logótipo, o emblema da União Europeia deve ter um destaque adequado.</w:t>
      </w:r>
    </w:p>
    <w:p w14:paraId="3500A58C"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A obrigação de exibir o emblema da União Europeia não confere ao beneficiário um direito de utilização exclusiva. O beneficiário não pode apropriar-se nem do emblema da União Europeia, nem de qualquer marca ou logótipo semelhante, quer por via de registo quer por qualquer outro meio.</w:t>
      </w:r>
    </w:p>
    <w:p w14:paraId="74DBC0E6"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Para efeitos do primeiro, segundo e terceiro parágrafos e sob as condições aí especificadas, o beneficiário pode utilizar o emblema da União Europeia sem necessidade de autorização prévia da Comissão.</w:t>
      </w:r>
    </w:p>
    <w:p w14:paraId="2D843DFA" w14:textId="77777777" w:rsidR="007A392C" w:rsidRPr="002D2FDF" w:rsidRDefault="00851C95">
      <w:pPr>
        <w:pStyle w:val="Heading3"/>
        <w:jc w:val="both"/>
        <w:rPr>
          <w:rFonts w:ascii="Times New Roman" w:hAnsi="Times New Roman"/>
          <w:lang w:val="pt-PT"/>
        </w:rPr>
      </w:pPr>
      <w:bookmarkStart w:id="28" w:name="_Toc441250835"/>
      <w:bookmarkStart w:id="29" w:name="_Toc446535878"/>
      <w:r w:rsidRPr="002D2FDF">
        <w:rPr>
          <w:rFonts w:ascii="Times New Roman" w:hAnsi="Times New Roman"/>
          <w:lang w:val="pt-PT"/>
        </w:rPr>
        <w:t>II.8.2</w:t>
      </w:r>
      <w:r w:rsidRPr="002D2FDF">
        <w:rPr>
          <w:rFonts w:ascii="Times New Roman" w:hAnsi="Times New Roman"/>
          <w:lang w:val="pt-PT"/>
        </w:rPr>
        <w:tab/>
        <w:t>Declarações de exoneração de responsabilidade da Comissão</w:t>
      </w:r>
      <w:bookmarkEnd w:id="28"/>
      <w:bookmarkEnd w:id="29"/>
    </w:p>
    <w:p w14:paraId="454A7490"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 xml:space="preserve">Qualquer comunicação ou publicação relacionada com a </w:t>
      </w:r>
      <w:r w:rsidRPr="002D2FDF">
        <w:rPr>
          <w:rFonts w:ascii="Times New Roman" w:hAnsi="Times New Roman"/>
          <w:i/>
          <w:lang w:val="pt-PT"/>
        </w:rPr>
        <w:t>ação</w:t>
      </w:r>
      <w:r w:rsidRPr="002D2FDF">
        <w:rPr>
          <w:rFonts w:ascii="Times New Roman" w:hAnsi="Times New Roman"/>
          <w:lang w:val="pt-PT"/>
        </w:rPr>
        <w:t>, realizada pelo beneficiário, sob qualquer forma e através de qualquer meio, deve mencionar:</w:t>
      </w:r>
    </w:p>
    <w:p w14:paraId="5466A2DC" w14:textId="77777777" w:rsidR="007A392C" w:rsidRPr="002D2FDF" w:rsidRDefault="00851C95">
      <w:pPr>
        <w:numPr>
          <w:ilvl w:val="0"/>
          <w:numId w:val="22"/>
        </w:numPr>
        <w:spacing w:before="120" w:after="120" w:line="240" w:lineRule="auto"/>
        <w:jc w:val="both"/>
        <w:rPr>
          <w:rFonts w:ascii="Times New Roman" w:hAnsi="Times New Roman"/>
          <w:sz w:val="24"/>
          <w:szCs w:val="24"/>
          <w:lang w:val="pt-PT"/>
        </w:rPr>
      </w:pPr>
      <w:r w:rsidRPr="002D2FDF">
        <w:rPr>
          <w:rFonts w:ascii="Times New Roman" w:hAnsi="Times New Roman"/>
          <w:lang w:val="pt-PT"/>
        </w:rPr>
        <w:t>Que reflete apenas o ponto de vista do autor; e</w:t>
      </w:r>
    </w:p>
    <w:p w14:paraId="0082B701" w14:textId="77777777" w:rsidR="007A392C" w:rsidRPr="002D2FDF" w:rsidRDefault="00851C95">
      <w:pPr>
        <w:numPr>
          <w:ilvl w:val="0"/>
          <w:numId w:val="22"/>
        </w:numPr>
        <w:spacing w:before="120" w:after="120" w:line="240" w:lineRule="auto"/>
        <w:jc w:val="both"/>
        <w:rPr>
          <w:rFonts w:ascii="Times New Roman" w:hAnsi="Times New Roman"/>
          <w:sz w:val="24"/>
          <w:szCs w:val="24"/>
          <w:lang w:val="pt-PT"/>
        </w:rPr>
      </w:pPr>
      <w:r w:rsidRPr="002D2FDF">
        <w:rPr>
          <w:rFonts w:ascii="Times New Roman" w:hAnsi="Times New Roman"/>
          <w:lang w:val="pt-PT"/>
        </w:rPr>
        <w:t>Que a Comissão não é responsável pela utilização que possa ser feita das informações nela contidas.</w:t>
      </w:r>
    </w:p>
    <w:p w14:paraId="31B3561D" w14:textId="77777777" w:rsidR="007A392C" w:rsidRPr="002D2FDF" w:rsidRDefault="00851C95">
      <w:pPr>
        <w:pStyle w:val="Heading2"/>
        <w:rPr>
          <w:rFonts w:ascii="Times New Roman" w:hAnsi="Times New Roman"/>
          <w:lang w:val="pt-PT"/>
        </w:rPr>
      </w:pPr>
      <w:bookmarkStart w:id="30" w:name="_Toc441250836"/>
      <w:bookmarkStart w:id="31" w:name="_Toc446535879"/>
      <w:r w:rsidRPr="002D2FDF">
        <w:rPr>
          <w:rFonts w:ascii="Times New Roman" w:hAnsi="Times New Roman"/>
          <w:lang w:val="pt-PT"/>
        </w:rPr>
        <w:t>Artigo II.9 — Direitos preexistentes, propriedade e utilização dos resultados (incluindo direitos de propriedade intelectual e industrial)</w:t>
      </w:r>
      <w:bookmarkEnd w:id="30"/>
      <w:bookmarkEnd w:id="31"/>
    </w:p>
    <w:p w14:paraId="47FB6B94" w14:textId="6664298C" w:rsidR="007A392C" w:rsidRPr="002D2FDF" w:rsidRDefault="00851C95">
      <w:pPr>
        <w:pStyle w:val="Heading3"/>
        <w:jc w:val="both"/>
        <w:rPr>
          <w:rFonts w:ascii="Times New Roman" w:hAnsi="Times New Roman"/>
          <w:lang w:val="pt-PT"/>
        </w:rPr>
      </w:pPr>
      <w:bookmarkStart w:id="32" w:name="_Toc441250837"/>
      <w:bookmarkStart w:id="33" w:name="_Toc446535880"/>
      <w:r w:rsidRPr="002D2FDF">
        <w:rPr>
          <w:rFonts w:ascii="Times New Roman" w:hAnsi="Times New Roman"/>
          <w:lang w:val="pt-PT"/>
        </w:rPr>
        <w:t>II.9.1</w:t>
      </w:r>
      <w:r w:rsidRPr="002D2FDF">
        <w:rPr>
          <w:rFonts w:ascii="Times New Roman" w:hAnsi="Times New Roman"/>
          <w:lang w:val="pt-PT"/>
        </w:rPr>
        <w:tab/>
        <w:t xml:space="preserve">Propriedade dos resultados pelo </w:t>
      </w:r>
      <w:bookmarkEnd w:id="32"/>
      <w:r w:rsidRPr="002D2FDF">
        <w:rPr>
          <w:rFonts w:ascii="Times New Roman" w:hAnsi="Times New Roman"/>
          <w:lang w:val="pt-PT"/>
        </w:rPr>
        <w:t>beneficiário</w:t>
      </w:r>
      <w:bookmarkEnd w:id="33"/>
    </w:p>
    <w:p w14:paraId="135AF854"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 xml:space="preserve">Salvo disposição em contrário na convenção, a propriedade dos resultados da </w:t>
      </w:r>
      <w:r w:rsidRPr="002D2FDF">
        <w:rPr>
          <w:rFonts w:ascii="Times New Roman" w:hAnsi="Times New Roman"/>
          <w:i/>
          <w:lang w:val="pt-PT"/>
        </w:rPr>
        <w:t>ação</w:t>
      </w:r>
      <w:r w:rsidRPr="002D2FDF">
        <w:rPr>
          <w:rFonts w:ascii="Times New Roman" w:hAnsi="Times New Roman"/>
          <w:lang w:val="pt-PT"/>
        </w:rPr>
        <w:t>, incluindo os direitos de propriedade industrial e intelectual, dos relatórios e de outros documentos correlacionados, pertence ao beneficiário.</w:t>
      </w:r>
    </w:p>
    <w:p w14:paraId="23F56B5C" w14:textId="77777777" w:rsidR="007A392C" w:rsidRPr="002D2FDF" w:rsidRDefault="00851C95">
      <w:pPr>
        <w:pStyle w:val="Heading3"/>
        <w:jc w:val="both"/>
        <w:rPr>
          <w:rFonts w:ascii="Times New Roman" w:hAnsi="Times New Roman"/>
          <w:lang w:val="pt-PT"/>
        </w:rPr>
      </w:pPr>
      <w:bookmarkStart w:id="34" w:name="_Toc441250838"/>
      <w:bookmarkStart w:id="35" w:name="_Toc446535881"/>
      <w:r w:rsidRPr="002D2FDF">
        <w:rPr>
          <w:rFonts w:ascii="Times New Roman" w:hAnsi="Times New Roman"/>
          <w:lang w:val="pt-PT"/>
        </w:rPr>
        <w:t>II.9.2</w:t>
      </w:r>
      <w:r w:rsidRPr="002D2FDF">
        <w:rPr>
          <w:rFonts w:ascii="Times New Roman" w:hAnsi="Times New Roman"/>
          <w:lang w:val="pt-PT"/>
        </w:rPr>
        <w:tab/>
        <w:t>Direitos preexistentes</w:t>
      </w:r>
      <w:bookmarkEnd w:id="34"/>
      <w:bookmarkEnd w:id="35"/>
    </w:p>
    <w:p w14:paraId="19246EC8" w14:textId="77777777" w:rsidR="007A392C" w:rsidRPr="002D2FDF" w:rsidRDefault="00851C95">
      <w:pPr>
        <w:spacing w:after="0" w:line="240" w:lineRule="auto"/>
        <w:jc w:val="both"/>
        <w:rPr>
          <w:rFonts w:ascii="Times New Roman" w:hAnsi="Times New Roman"/>
          <w:sz w:val="24"/>
          <w:szCs w:val="24"/>
          <w:lang w:val="pt-PT"/>
        </w:rPr>
      </w:pPr>
      <w:r w:rsidRPr="002D2FDF">
        <w:rPr>
          <w:rFonts w:ascii="Times New Roman" w:hAnsi="Times New Roman"/>
          <w:lang w:val="pt-PT"/>
        </w:rPr>
        <w:t>Se a Comissão enviar ao beneficiário um pedido escrito, especificando quais os resultados que pretende utilizar, o beneficiário deve:</w:t>
      </w:r>
    </w:p>
    <w:p w14:paraId="25BAB7A3" w14:textId="77777777" w:rsidR="007A392C" w:rsidRPr="002D2FDF" w:rsidRDefault="00851C95">
      <w:pPr>
        <w:numPr>
          <w:ilvl w:val="0"/>
          <w:numId w:val="23"/>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Elaborar uma lista que especifique todos os </w:t>
      </w:r>
      <w:r w:rsidRPr="002D2FDF">
        <w:rPr>
          <w:rFonts w:ascii="Times New Roman" w:hAnsi="Times New Roman"/>
          <w:i/>
          <w:lang w:val="pt-PT"/>
        </w:rPr>
        <w:t>direitos preexistentes</w:t>
      </w:r>
      <w:r w:rsidRPr="002D2FDF">
        <w:rPr>
          <w:rFonts w:ascii="Times New Roman" w:hAnsi="Times New Roman"/>
          <w:lang w:val="pt-PT"/>
        </w:rPr>
        <w:t xml:space="preserve"> incluídos nesses resultados; e</w:t>
      </w:r>
    </w:p>
    <w:p w14:paraId="0723BEE9" w14:textId="77777777" w:rsidR="007A392C" w:rsidRPr="002D2FDF" w:rsidRDefault="00851C95">
      <w:pPr>
        <w:numPr>
          <w:ilvl w:val="0"/>
          <w:numId w:val="23"/>
        </w:numPr>
        <w:spacing w:before="100" w:beforeAutospacing="1" w:after="120" w:line="240" w:lineRule="auto"/>
        <w:ind w:left="714" w:hanging="357"/>
        <w:jc w:val="both"/>
        <w:rPr>
          <w:rFonts w:ascii="Times New Roman" w:hAnsi="Times New Roman"/>
          <w:sz w:val="24"/>
          <w:szCs w:val="24"/>
          <w:lang w:val="pt-PT"/>
        </w:rPr>
      </w:pPr>
      <w:r w:rsidRPr="002D2FDF">
        <w:rPr>
          <w:rFonts w:ascii="Times New Roman" w:hAnsi="Times New Roman"/>
          <w:lang w:val="pt-PT"/>
        </w:rPr>
        <w:t>Enviar essa lista à Comissão, o mais tardar juntamente com o pedido de pagamento do saldo.</w:t>
      </w:r>
    </w:p>
    <w:p w14:paraId="015FAA32"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 xml:space="preserve">O beneficiário deve assegurar que ele próprio e as suas entidades afiliadas dispõem de todos os direitos de utilização dos </w:t>
      </w:r>
      <w:r w:rsidRPr="002D2FDF">
        <w:rPr>
          <w:rFonts w:ascii="Times New Roman" w:hAnsi="Times New Roman"/>
          <w:i/>
          <w:lang w:val="pt-PT"/>
        </w:rPr>
        <w:t>direitos preexistentes</w:t>
      </w:r>
      <w:r w:rsidRPr="002D2FDF">
        <w:rPr>
          <w:rFonts w:ascii="Times New Roman" w:hAnsi="Times New Roman"/>
          <w:lang w:val="pt-PT"/>
        </w:rPr>
        <w:t xml:space="preserve"> no quadro da execução da convenção.</w:t>
      </w:r>
    </w:p>
    <w:p w14:paraId="4E10E075" w14:textId="77777777" w:rsidR="007A392C" w:rsidRPr="002D2FDF" w:rsidRDefault="00851C95">
      <w:pPr>
        <w:pStyle w:val="Heading3"/>
        <w:jc w:val="both"/>
        <w:rPr>
          <w:rFonts w:ascii="Times New Roman" w:hAnsi="Times New Roman"/>
          <w:lang w:val="pt-PT"/>
        </w:rPr>
      </w:pPr>
      <w:bookmarkStart w:id="36" w:name="_Toc441250839"/>
      <w:bookmarkStart w:id="37" w:name="_Toc446535882"/>
      <w:r w:rsidRPr="002D2FDF">
        <w:rPr>
          <w:rFonts w:ascii="Times New Roman" w:hAnsi="Times New Roman"/>
          <w:lang w:val="pt-PT"/>
        </w:rPr>
        <w:t>II.9.3</w:t>
      </w:r>
      <w:r w:rsidRPr="002D2FDF">
        <w:rPr>
          <w:rFonts w:ascii="Times New Roman" w:hAnsi="Times New Roman"/>
          <w:lang w:val="pt-PT"/>
        </w:rPr>
        <w:tab/>
        <w:t>Direitos de utilização pela União dos resultados e dos direitos preexistentes</w:t>
      </w:r>
      <w:bookmarkEnd w:id="36"/>
      <w:bookmarkEnd w:id="37"/>
    </w:p>
    <w:p w14:paraId="787FCD5B" w14:textId="77777777" w:rsidR="007A392C" w:rsidRPr="002D2FDF" w:rsidRDefault="00851C95">
      <w:pPr>
        <w:spacing w:line="240" w:lineRule="auto"/>
        <w:jc w:val="both"/>
        <w:rPr>
          <w:rFonts w:ascii="Times New Roman" w:hAnsi="Times New Roman"/>
          <w:i/>
          <w:sz w:val="24"/>
          <w:szCs w:val="24"/>
          <w:lang w:val="pt-PT"/>
        </w:rPr>
      </w:pPr>
      <w:r w:rsidRPr="002D2FDF">
        <w:rPr>
          <w:rFonts w:ascii="Times New Roman" w:hAnsi="Times New Roman"/>
          <w:lang w:val="pt-PT"/>
        </w:rPr>
        <w:t xml:space="preserve">O beneficiário concede à União os seguintes direitos de utilização dos resultados da </w:t>
      </w:r>
      <w:r w:rsidRPr="002D2FDF">
        <w:rPr>
          <w:rFonts w:ascii="Times New Roman" w:hAnsi="Times New Roman"/>
          <w:i/>
          <w:lang w:val="pt-PT"/>
        </w:rPr>
        <w:t>ação</w:t>
      </w:r>
      <w:r w:rsidRPr="002D2FDF">
        <w:rPr>
          <w:rFonts w:ascii="Times New Roman" w:hAnsi="Times New Roman"/>
          <w:lang w:val="pt-PT"/>
        </w:rPr>
        <w:t>:</w:t>
      </w:r>
    </w:p>
    <w:p w14:paraId="59F61418" w14:textId="23A751CF" w:rsidR="007A392C" w:rsidRPr="002D2FDF" w:rsidRDefault="002D2FDF">
      <w:pPr>
        <w:adjustRightInd w:val="0"/>
        <w:spacing w:line="240" w:lineRule="auto"/>
        <w:ind w:left="426" w:hanging="426"/>
        <w:jc w:val="both"/>
        <w:rPr>
          <w:rFonts w:ascii="Times New Roman" w:hAnsi="Times New Roman"/>
          <w:i/>
          <w:sz w:val="24"/>
          <w:szCs w:val="24"/>
          <w:lang w:val="pt-PT"/>
        </w:rPr>
      </w:pPr>
      <w:r>
        <w:rPr>
          <w:rFonts w:ascii="Times New Roman" w:hAnsi="Times New Roman"/>
          <w:lang w:val="pt-PT"/>
        </w:rPr>
        <w:t>(a)</w:t>
      </w:r>
      <w:r>
        <w:rPr>
          <w:rFonts w:ascii="Times New Roman" w:hAnsi="Times New Roman"/>
          <w:lang w:val="pt-PT"/>
        </w:rPr>
        <w:tab/>
        <w:t>P</w:t>
      </w:r>
      <w:r w:rsidR="00851C95" w:rsidRPr="002D2FDF">
        <w:rPr>
          <w:rFonts w:ascii="Times New Roman" w:hAnsi="Times New Roman"/>
          <w:lang w:val="pt-PT"/>
        </w:rPr>
        <w:t>ara fins internos, nomeadamente o direito de divulgação junto de pessoas que trabalhem para a Comissão e outras instituições, agências e órgãos da União, bem como para instituições dos Estados-Membros, e o direito de os copiar e reproduzir, na totalidade ou em parte, e em número ilimitado de exemplares;</w:t>
      </w:r>
    </w:p>
    <w:p w14:paraId="506DB642" w14:textId="64FA3050" w:rsidR="007A392C" w:rsidRPr="002D2FDF" w:rsidRDefault="002D2FDF">
      <w:pPr>
        <w:adjustRightInd w:val="0"/>
        <w:spacing w:line="240" w:lineRule="auto"/>
        <w:ind w:left="426" w:hanging="426"/>
        <w:jc w:val="both"/>
        <w:rPr>
          <w:rFonts w:ascii="Times New Roman" w:hAnsi="Times New Roman"/>
          <w:i/>
          <w:sz w:val="24"/>
          <w:szCs w:val="24"/>
          <w:lang w:val="pt-PT"/>
        </w:rPr>
      </w:pPr>
      <w:r>
        <w:rPr>
          <w:rFonts w:ascii="Times New Roman" w:hAnsi="Times New Roman"/>
          <w:lang w:val="pt-PT"/>
        </w:rPr>
        <w:t>(</w:t>
      </w:r>
      <w:r w:rsidR="00851C95" w:rsidRPr="002D2FDF">
        <w:rPr>
          <w:rFonts w:ascii="Times New Roman" w:hAnsi="Times New Roman"/>
          <w:lang w:val="pt-PT"/>
        </w:rPr>
        <w:t>b)</w:t>
      </w:r>
      <w:r w:rsidR="00851C95" w:rsidRPr="002D2FDF">
        <w:rPr>
          <w:rFonts w:ascii="Times New Roman" w:hAnsi="Times New Roman"/>
          <w:lang w:val="pt-PT"/>
        </w:rPr>
        <w:tab/>
        <w:t>Reprodução: o direito de autorizar a reprodução direta ou indireta, temporária ou permanente dos resultados por qualquer meio (mecânico, digital ou outro) e sob qualquer forma, no todo ou em parte;</w:t>
      </w:r>
    </w:p>
    <w:p w14:paraId="1BF5DE24" w14:textId="6CD3962A" w:rsidR="007A392C" w:rsidRPr="002D2FDF" w:rsidRDefault="002D2FDF">
      <w:pPr>
        <w:adjustRightInd w:val="0"/>
        <w:spacing w:line="240" w:lineRule="auto"/>
        <w:ind w:left="426" w:hanging="426"/>
        <w:jc w:val="both"/>
        <w:rPr>
          <w:rFonts w:ascii="Times New Roman" w:hAnsi="Times New Roman"/>
          <w:i/>
          <w:sz w:val="24"/>
          <w:szCs w:val="24"/>
          <w:lang w:val="pt-PT"/>
        </w:rPr>
      </w:pPr>
      <w:r>
        <w:rPr>
          <w:rFonts w:ascii="Times New Roman" w:hAnsi="Times New Roman"/>
          <w:lang w:val="pt-PT"/>
        </w:rPr>
        <w:t>(</w:t>
      </w:r>
      <w:r w:rsidR="00851C95" w:rsidRPr="002D2FDF">
        <w:rPr>
          <w:rFonts w:ascii="Times New Roman" w:hAnsi="Times New Roman"/>
          <w:lang w:val="pt-PT"/>
        </w:rPr>
        <w:t>c)</w:t>
      </w:r>
      <w:r w:rsidR="00851C95" w:rsidRPr="002D2FDF">
        <w:rPr>
          <w:rFonts w:ascii="Times New Roman" w:hAnsi="Times New Roman"/>
          <w:lang w:val="pt-PT"/>
        </w:rPr>
        <w:tab/>
        <w:t>Comunicação ao público: o direito de autorizar qualquer visualização, execução ou comunicação ao público, por fio ou sem fio, incluindo a colocação à disposição do público dos resultados de forma a torná-las acessíveis a membros do público a partir do local e no momento por eles escolhido individualmente; este direito também inclui a comunicação e transmissão por cabo ou por satélite;</w:t>
      </w:r>
    </w:p>
    <w:p w14:paraId="4257CE97" w14:textId="2C3448A4" w:rsidR="007A392C" w:rsidRPr="002D2FDF" w:rsidRDefault="002D2FDF">
      <w:pPr>
        <w:adjustRightInd w:val="0"/>
        <w:spacing w:line="240" w:lineRule="auto"/>
        <w:ind w:left="426" w:hanging="426"/>
        <w:jc w:val="both"/>
        <w:rPr>
          <w:rFonts w:ascii="Times New Roman" w:hAnsi="Times New Roman"/>
          <w:sz w:val="24"/>
          <w:szCs w:val="24"/>
          <w:lang w:val="pt-PT"/>
        </w:rPr>
      </w:pPr>
      <w:r>
        <w:rPr>
          <w:rFonts w:ascii="Times New Roman" w:hAnsi="Times New Roman"/>
          <w:lang w:val="pt-PT"/>
        </w:rPr>
        <w:t>(</w:t>
      </w:r>
      <w:r w:rsidR="00851C95" w:rsidRPr="002D2FDF">
        <w:rPr>
          <w:rFonts w:ascii="Times New Roman" w:hAnsi="Times New Roman"/>
          <w:lang w:val="pt-PT"/>
        </w:rPr>
        <w:t>d)</w:t>
      </w:r>
      <w:r w:rsidR="00851C95" w:rsidRPr="002D2FDF">
        <w:rPr>
          <w:rFonts w:ascii="Times New Roman" w:hAnsi="Times New Roman"/>
          <w:lang w:val="pt-PT"/>
        </w:rPr>
        <w:tab/>
        <w:t>Distribuição: o direito de autorizar qualquer forma de distribuição de resultados ou cópias dos resultados ao público;</w:t>
      </w:r>
    </w:p>
    <w:p w14:paraId="3D9D4395" w14:textId="27100248" w:rsidR="007A392C" w:rsidRPr="002D2FDF" w:rsidRDefault="002D2FDF">
      <w:pPr>
        <w:adjustRightInd w:val="0"/>
        <w:spacing w:line="240" w:lineRule="auto"/>
        <w:ind w:left="426" w:hanging="426"/>
        <w:jc w:val="both"/>
        <w:rPr>
          <w:rFonts w:ascii="Times New Roman" w:hAnsi="Times New Roman"/>
          <w:sz w:val="24"/>
          <w:szCs w:val="24"/>
          <w:lang w:val="pt-PT"/>
        </w:rPr>
      </w:pPr>
      <w:r>
        <w:rPr>
          <w:rFonts w:ascii="Times New Roman" w:hAnsi="Times New Roman"/>
          <w:lang w:val="pt-PT"/>
        </w:rPr>
        <w:t>(</w:t>
      </w:r>
      <w:r w:rsidR="00851C95" w:rsidRPr="002D2FDF">
        <w:rPr>
          <w:rFonts w:ascii="Times New Roman" w:hAnsi="Times New Roman"/>
          <w:lang w:val="pt-PT"/>
        </w:rPr>
        <w:t>e)</w:t>
      </w:r>
      <w:r w:rsidR="00851C95" w:rsidRPr="002D2FDF">
        <w:rPr>
          <w:rFonts w:ascii="Times New Roman" w:hAnsi="Times New Roman"/>
          <w:lang w:val="pt-PT"/>
        </w:rPr>
        <w:tab/>
        <w:t>Adaptação: o direito de alterar os resultados;</w:t>
      </w:r>
    </w:p>
    <w:p w14:paraId="553684F8" w14:textId="3A6A9CD9" w:rsidR="007A392C" w:rsidRPr="002D2FDF" w:rsidRDefault="002D2FDF">
      <w:pPr>
        <w:adjustRightInd w:val="0"/>
        <w:spacing w:line="240" w:lineRule="auto"/>
        <w:ind w:left="426" w:hanging="426"/>
        <w:jc w:val="both"/>
        <w:rPr>
          <w:rFonts w:ascii="Times New Roman" w:hAnsi="Times New Roman"/>
          <w:sz w:val="24"/>
          <w:szCs w:val="24"/>
          <w:lang w:val="pt-PT"/>
        </w:rPr>
      </w:pPr>
      <w:r>
        <w:rPr>
          <w:rFonts w:ascii="Times New Roman" w:hAnsi="Times New Roman"/>
          <w:lang w:val="pt-PT"/>
        </w:rPr>
        <w:t>(</w:t>
      </w:r>
      <w:r w:rsidR="00851C95" w:rsidRPr="002D2FDF">
        <w:rPr>
          <w:rFonts w:ascii="Times New Roman" w:hAnsi="Times New Roman"/>
          <w:lang w:val="pt-PT"/>
        </w:rPr>
        <w:t>f)</w:t>
      </w:r>
      <w:r w:rsidR="00851C95" w:rsidRPr="002D2FDF">
        <w:rPr>
          <w:rFonts w:ascii="Times New Roman" w:hAnsi="Times New Roman"/>
          <w:lang w:val="pt-PT"/>
        </w:rPr>
        <w:tab/>
        <w:t>Tradução;</w:t>
      </w:r>
    </w:p>
    <w:p w14:paraId="2797EFC4" w14:textId="742E972D" w:rsidR="007A392C" w:rsidRPr="002D2FDF" w:rsidRDefault="002D2FDF">
      <w:pPr>
        <w:adjustRightInd w:val="0"/>
        <w:spacing w:line="240" w:lineRule="auto"/>
        <w:ind w:left="426" w:hanging="426"/>
        <w:jc w:val="both"/>
        <w:rPr>
          <w:rFonts w:ascii="Times New Roman" w:hAnsi="Times New Roman"/>
          <w:sz w:val="24"/>
          <w:szCs w:val="24"/>
          <w:lang w:val="pt-PT"/>
        </w:rPr>
      </w:pPr>
      <w:r>
        <w:rPr>
          <w:rFonts w:ascii="Times New Roman" w:hAnsi="Times New Roman"/>
          <w:lang w:val="pt-PT"/>
        </w:rPr>
        <w:t>(</w:t>
      </w:r>
      <w:r w:rsidR="00851C95" w:rsidRPr="002D2FDF">
        <w:rPr>
          <w:rFonts w:ascii="Times New Roman" w:hAnsi="Times New Roman"/>
          <w:lang w:val="pt-PT"/>
        </w:rPr>
        <w:t>g)</w:t>
      </w:r>
      <w:r w:rsidR="00851C95" w:rsidRPr="002D2FDF">
        <w:rPr>
          <w:rFonts w:ascii="Times New Roman" w:hAnsi="Times New Roman"/>
          <w:lang w:val="pt-PT"/>
        </w:rPr>
        <w:tab/>
        <w:t xml:space="preserve">O direito de armazenar e arquivar os resultados em conformidade com as regras de gestão de documentos aplicáveis à Comissão, incluindo a digitalização ou conversão noutro formato para fins de preservação ou nova utilização;  </w:t>
      </w:r>
    </w:p>
    <w:p w14:paraId="0AD60B99" w14:textId="6D1C5D27" w:rsidR="007A392C" w:rsidRPr="002D2FDF" w:rsidRDefault="002D2FDF">
      <w:pPr>
        <w:adjustRightInd w:val="0"/>
        <w:spacing w:line="240" w:lineRule="auto"/>
        <w:ind w:left="426" w:hanging="426"/>
        <w:jc w:val="both"/>
        <w:rPr>
          <w:rFonts w:ascii="Times New Roman" w:hAnsi="Times New Roman"/>
          <w:sz w:val="24"/>
          <w:szCs w:val="24"/>
          <w:lang w:val="pt-PT"/>
        </w:rPr>
      </w:pPr>
      <w:r>
        <w:rPr>
          <w:rFonts w:ascii="Times New Roman" w:hAnsi="Times New Roman"/>
          <w:lang w:val="pt-PT"/>
        </w:rPr>
        <w:t>(</w:t>
      </w:r>
      <w:r w:rsidR="00851C95" w:rsidRPr="002D2FDF">
        <w:rPr>
          <w:rFonts w:ascii="Times New Roman" w:hAnsi="Times New Roman"/>
          <w:lang w:val="pt-PT"/>
        </w:rPr>
        <w:t>h)</w:t>
      </w:r>
      <w:r w:rsidR="00851C95" w:rsidRPr="002D2FDF">
        <w:rPr>
          <w:rFonts w:ascii="Times New Roman" w:hAnsi="Times New Roman"/>
          <w:lang w:val="pt-PT"/>
        </w:rPr>
        <w:tab/>
        <w:t>O direito de autorizar a reutilização dos documentos, em conformidade com a Decisão 2011/833/UE da Comissão, de 12 de dezembro de 2011, relativa à reutilização de documentos da Comissão, na medida em que seja aplicável e os documentos abrangidos pelo seu âmbito de aplicação e não sejam excluídos por qualquer das suas disposições. Para efeitos da presente disposição, a expressão «reutilização» e «documento» têm o significado que lhes é atribuído pela Decisão 2011/833/UE.</w:t>
      </w:r>
    </w:p>
    <w:p w14:paraId="50879471"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Os referidos direitos de utilização podem ainda ser especificados mais pormenorizadamente nas condições especiais.</w:t>
      </w:r>
    </w:p>
    <w:p w14:paraId="7C56A52A"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As condições especiais podem prever outros direitos de utilização pela União.</w:t>
      </w:r>
    </w:p>
    <w:p w14:paraId="230B2E9A"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 xml:space="preserve">O beneficiário deve garantir à União o direito de utilizar quaisquer </w:t>
      </w:r>
      <w:r w:rsidRPr="002D2FDF">
        <w:rPr>
          <w:rFonts w:ascii="Times New Roman" w:hAnsi="Times New Roman"/>
          <w:i/>
          <w:lang w:val="pt-PT"/>
        </w:rPr>
        <w:t>direitos preexistentes</w:t>
      </w:r>
      <w:r w:rsidRPr="002D2FDF">
        <w:rPr>
          <w:rFonts w:ascii="Times New Roman" w:hAnsi="Times New Roman"/>
          <w:lang w:val="pt-PT"/>
        </w:rPr>
        <w:t xml:space="preserve"> de propriedade industrial e intelectual que tenham sido incluídos nos resultados da </w:t>
      </w:r>
      <w:r w:rsidRPr="002D2FDF">
        <w:rPr>
          <w:rFonts w:ascii="Times New Roman" w:hAnsi="Times New Roman"/>
          <w:i/>
          <w:lang w:val="pt-PT"/>
        </w:rPr>
        <w:t>ação</w:t>
      </w:r>
      <w:r w:rsidRPr="002D2FDF">
        <w:rPr>
          <w:rFonts w:ascii="Times New Roman" w:hAnsi="Times New Roman"/>
          <w:lang w:val="pt-PT"/>
        </w:rPr>
        <w:t xml:space="preserve">. Salvo disposto em contrário nas condições especiais, esses </w:t>
      </w:r>
      <w:r w:rsidRPr="002D2FDF">
        <w:rPr>
          <w:rFonts w:ascii="Times New Roman" w:hAnsi="Times New Roman"/>
          <w:i/>
          <w:lang w:val="pt-PT"/>
        </w:rPr>
        <w:t>direitos preexistentes</w:t>
      </w:r>
      <w:r w:rsidRPr="002D2FDF">
        <w:rPr>
          <w:rFonts w:ascii="Times New Roman" w:hAnsi="Times New Roman"/>
          <w:lang w:val="pt-PT"/>
        </w:rPr>
        <w:t xml:space="preserve"> devem ser utilizados para os mesmos efeitos e sob as mesmas condições aplicáveis aos direitos de utilização dos resultados da </w:t>
      </w:r>
      <w:r w:rsidRPr="002D2FDF">
        <w:rPr>
          <w:rFonts w:ascii="Times New Roman" w:hAnsi="Times New Roman"/>
          <w:i/>
          <w:lang w:val="pt-PT"/>
        </w:rPr>
        <w:t>ação</w:t>
      </w:r>
      <w:r w:rsidRPr="002D2FDF">
        <w:rPr>
          <w:rFonts w:ascii="Times New Roman" w:hAnsi="Times New Roman"/>
          <w:lang w:val="pt-PT"/>
        </w:rPr>
        <w:t>.</w:t>
      </w:r>
    </w:p>
    <w:p w14:paraId="7F07849C"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As informações sobre o titular dos direitos de autor devem ser mencionadas aquando da divulgação dos resultados pela União. As informações relativas aos direitos de autor devem ser apresentadas da seguinte forma: «© – ano – nome do proprietário dos direitos de autor. Todos os direitos reservados. Licenciado à União Europeia sob condições.».</w:t>
      </w:r>
    </w:p>
    <w:p w14:paraId="5E775D7D"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Se o beneficiário conceder direitos de utilização à Comissão, tal não afeta as suas obrigações de confidencialidade nos termos do artigo II.6 nem a sua obrigação nos termos do artigo II.2.</w:t>
      </w:r>
    </w:p>
    <w:p w14:paraId="244A7854" w14:textId="77777777" w:rsidR="007A392C" w:rsidRPr="002D2FDF" w:rsidRDefault="00851C95">
      <w:pPr>
        <w:pStyle w:val="Heading2"/>
        <w:rPr>
          <w:rFonts w:ascii="Times New Roman" w:hAnsi="Times New Roman"/>
          <w:lang w:val="pt-PT"/>
        </w:rPr>
      </w:pPr>
      <w:bookmarkStart w:id="38" w:name="_Toc441250840"/>
      <w:bookmarkStart w:id="39" w:name="_Toc446535883"/>
      <w:r w:rsidRPr="002D2FDF">
        <w:rPr>
          <w:rFonts w:ascii="Times New Roman" w:hAnsi="Times New Roman"/>
          <w:lang w:val="pt-PT"/>
        </w:rPr>
        <w:t>Artigo II.10 — Adjudicação dos contratos necessários para execução da ação</w:t>
      </w:r>
      <w:bookmarkEnd w:id="38"/>
      <w:bookmarkEnd w:id="39"/>
    </w:p>
    <w:p w14:paraId="57F6E1EA" w14:textId="7593A975" w:rsidR="007A392C" w:rsidRPr="002D2FDF" w:rsidRDefault="00851C95">
      <w:pPr>
        <w:spacing w:line="240" w:lineRule="auto"/>
        <w:ind w:left="709" w:hanging="709"/>
        <w:jc w:val="both"/>
        <w:rPr>
          <w:rFonts w:ascii="Times New Roman" w:hAnsi="Times New Roman"/>
          <w:sz w:val="24"/>
          <w:szCs w:val="24"/>
          <w:lang w:val="pt-PT"/>
        </w:rPr>
      </w:pPr>
      <w:r w:rsidRPr="002D2FDF">
        <w:rPr>
          <w:rFonts w:ascii="Times New Roman" w:hAnsi="Times New Roman"/>
          <w:b/>
          <w:lang w:val="pt-PT"/>
        </w:rPr>
        <w:t>II.10.1</w:t>
      </w:r>
      <w:r w:rsidRPr="002D2FDF">
        <w:rPr>
          <w:rFonts w:ascii="Times New Roman" w:hAnsi="Times New Roman"/>
          <w:b/>
          <w:lang w:val="pt-PT"/>
        </w:rPr>
        <w:tab/>
      </w:r>
      <w:r w:rsidRPr="002D2FDF">
        <w:rPr>
          <w:rFonts w:ascii="Times New Roman" w:hAnsi="Times New Roman"/>
          <w:lang w:val="pt-PT"/>
        </w:rPr>
        <w:t xml:space="preserve">Se a execução da </w:t>
      </w:r>
      <w:r w:rsidRPr="002D2FDF">
        <w:rPr>
          <w:rFonts w:ascii="Times New Roman" w:hAnsi="Times New Roman"/>
          <w:i/>
          <w:lang w:val="pt-PT"/>
        </w:rPr>
        <w:t>ação</w:t>
      </w:r>
      <w:r w:rsidRPr="002D2FDF">
        <w:rPr>
          <w:rFonts w:ascii="Times New Roman" w:hAnsi="Times New Roman"/>
          <w:lang w:val="pt-PT"/>
        </w:rPr>
        <w:t xml:space="preserve"> exigir a aquisição de bens, obras ou serviços, o beneficiário pode adjudicar o contrato em conformidade com as suas práticas de compra habituais desde que o contrato seja adjudicado ao candidato que apresente a proposta economicamente mais vantajosa ou, se apropriado, ao candidato que ofereça o preço mais baixo. Deste modo, deve evitar eventuais </w:t>
      </w:r>
      <w:r w:rsidRPr="002D2FDF">
        <w:rPr>
          <w:rFonts w:ascii="Times New Roman" w:hAnsi="Times New Roman"/>
          <w:i/>
          <w:lang w:val="pt-PT"/>
        </w:rPr>
        <w:t>conflitos de interesses</w:t>
      </w:r>
      <w:r w:rsidRPr="002D2FDF">
        <w:rPr>
          <w:rFonts w:ascii="Times New Roman" w:hAnsi="Times New Roman"/>
          <w:lang w:val="pt-PT"/>
        </w:rPr>
        <w:t>.</w:t>
      </w:r>
    </w:p>
    <w:p w14:paraId="3545BF13" w14:textId="77777777" w:rsidR="007A392C" w:rsidRPr="002D2FDF" w:rsidRDefault="00851C95">
      <w:pPr>
        <w:spacing w:line="240" w:lineRule="auto"/>
        <w:ind w:left="709" w:hanging="709"/>
        <w:jc w:val="both"/>
        <w:rPr>
          <w:rFonts w:ascii="Times New Roman" w:hAnsi="Times New Roman"/>
          <w:sz w:val="24"/>
          <w:szCs w:val="24"/>
          <w:lang w:val="pt-PT"/>
        </w:rPr>
      </w:pPr>
      <w:r w:rsidRPr="002D2FDF">
        <w:rPr>
          <w:rFonts w:ascii="Times New Roman" w:hAnsi="Times New Roman"/>
          <w:lang w:val="pt-PT"/>
        </w:rPr>
        <w:tab/>
        <w:t>O beneficiário deve garantir que a Comissão, o Tribunal de Contas Europeu e o Organismo Europeu de Luta Antifraude (OLAF) possam exercer os seus direitos ao abrigo do artigo II.27, também em relação aos contratantes do beneficiário.</w:t>
      </w:r>
    </w:p>
    <w:p w14:paraId="4FC0196A" w14:textId="77777777" w:rsidR="007A392C" w:rsidRPr="002D2FDF" w:rsidRDefault="00851C95">
      <w:pPr>
        <w:spacing w:line="240" w:lineRule="auto"/>
        <w:ind w:left="709" w:hanging="709"/>
        <w:jc w:val="both"/>
        <w:rPr>
          <w:rFonts w:ascii="Times New Roman" w:hAnsi="Times New Roman"/>
          <w:sz w:val="24"/>
          <w:szCs w:val="24"/>
          <w:lang w:val="pt-PT"/>
        </w:rPr>
      </w:pPr>
      <w:r w:rsidRPr="002D2FDF">
        <w:rPr>
          <w:rFonts w:ascii="Times New Roman" w:hAnsi="Times New Roman"/>
          <w:b/>
          <w:lang w:val="pt-PT"/>
        </w:rPr>
        <w:t>II.10.2</w:t>
      </w:r>
      <w:r w:rsidRPr="002D2FDF">
        <w:rPr>
          <w:rFonts w:ascii="Times New Roman" w:hAnsi="Times New Roman"/>
          <w:lang w:val="pt-PT"/>
        </w:rPr>
        <w:t xml:space="preserve"> O beneficiário que seja uma «autoridade adjudicante» na aceção de Diretiva 2014/24/UE</w:t>
      </w:r>
      <w:r>
        <w:rPr>
          <w:rStyle w:val="FootnoteReference"/>
          <w:rFonts w:ascii="Times New Roman" w:hAnsi="Times New Roman"/>
        </w:rPr>
        <w:footnoteReference w:id="2"/>
      </w:r>
      <w:r w:rsidRPr="002D2FDF">
        <w:rPr>
          <w:rFonts w:ascii="Times New Roman" w:hAnsi="Times New Roman"/>
          <w:lang w:val="pt-PT"/>
        </w:rPr>
        <w:t xml:space="preserve"> ou uma «entidade adjudicante» na aceção da Diretiva 2014/25/UE</w:t>
      </w:r>
      <w:r>
        <w:rPr>
          <w:rStyle w:val="FootnoteReference"/>
          <w:rFonts w:ascii="Times New Roman" w:hAnsi="Times New Roman"/>
        </w:rPr>
        <w:footnoteReference w:id="3"/>
      </w:r>
      <w:r w:rsidRPr="002D2FDF">
        <w:rPr>
          <w:rFonts w:ascii="Times New Roman" w:hAnsi="Times New Roman"/>
          <w:lang w:val="pt-PT"/>
        </w:rPr>
        <w:t xml:space="preserve"> deve respeitar a legislação nacional aplicável em matéria de contratos públicos. </w:t>
      </w:r>
    </w:p>
    <w:p w14:paraId="179BC55C" w14:textId="77777777" w:rsidR="007A392C" w:rsidRPr="002D2FDF" w:rsidRDefault="00DF48E8">
      <w:pPr>
        <w:spacing w:line="240" w:lineRule="auto"/>
        <w:ind w:left="709"/>
        <w:jc w:val="both"/>
        <w:rPr>
          <w:rFonts w:ascii="Times New Roman" w:hAnsi="Times New Roman"/>
          <w:sz w:val="24"/>
          <w:szCs w:val="24"/>
          <w:lang w:val="pt-PT"/>
        </w:rPr>
      </w:pPr>
      <w:r w:rsidRPr="002D2FDF">
        <w:rPr>
          <w:rFonts w:ascii="Times New Roman" w:hAnsi="Times New Roman"/>
          <w:lang w:val="pt-PT"/>
        </w:rPr>
        <w:t>O beneficiário deve assegurar que as condições que lhe são aplicáveis nos termos dos artigos II.4, II.5, II.6 e II.9 são igualmente aplicáveis aos contratantes.</w:t>
      </w:r>
    </w:p>
    <w:p w14:paraId="4DEF29B2" w14:textId="77777777" w:rsidR="007A392C" w:rsidRPr="002D2FDF" w:rsidRDefault="00DF48E8">
      <w:pPr>
        <w:spacing w:line="240" w:lineRule="auto"/>
        <w:ind w:left="709" w:hanging="709"/>
        <w:jc w:val="both"/>
        <w:rPr>
          <w:rFonts w:ascii="Times New Roman" w:hAnsi="Times New Roman"/>
          <w:sz w:val="24"/>
          <w:szCs w:val="24"/>
          <w:lang w:val="pt-PT"/>
        </w:rPr>
      </w:pPr>
      <w:r w:rsidRPr="002D2FDF">
        <w:rPr>
          <w:rFonts w:ascii="Times New Roman" w:hAnsi="Times New Roman"/>
          <w:b/>
          <w:lang w:val="pt-PT"/>
        </w:rPr>
        <w:t>II.10.3</w:t>
      </w:r>
      <w:r w:rsidRPr="002D2FDF">
        <w:rPr>
          <w:rFonts w:ascii="Times New Roman" w:hAnsi="Times New Roman"/>
          <w:b/>
          <w:lang w:val="pt-PT"/>
        </w:rPr>
        <w:tab/>
      </w:r>
      <w:r w:rsidRPr="002D2FDF">
        <w:rPr>
          <w:rFonts w:ascii="Times New Roman" w:hAnsi="Times New Roman"/>
          <w:lang w:val="pt-PT"/>
        </w:rPr>
        <w:t xml:space="preserve">O beneficiário continua a ser o único responsável pela realização da </w:t>
      </w:r>
      <w:r w:rsidRPr="002D2FDF">
        <w:rPr>
          <w:rFonts w:ascii="Times New Roman" w:hAnsi="Times New Roman"/>
          <w:i/>
          <w:lang w:val="pt-PT"/>
        </w:rPr>
        <w:t>ação</w:t>
      </w:r>
      <w:r w:rsidRPr="002D2FDF">
        <w:rPr>
          <w:rFonts w:ascii="Times New Roman" w:hAnsi="Times New Roman"/>
          <w:lang w:val="pt-PT"/>
        </w:rPr>
        <w:t xml:space="preserve"> e pelo cumprimento do disposto na convenção.  </w:t>
      </w:r>
    </w:p>
    <w:p w14:paraId="6B1F723F" w14:textId="77777777" w:rsidR="007A392C" w:rsidRPr="002D2FDF" w:rsidRDefault="00DF48E8">
      <w:pPr>
        <w:spacing w:line="240" w:lineRule="auto"/>
        <w:ind w:left="709" w:hanging="709"/>
        <w:jc w:val="both"/>
        <w:rPr>
          <w:rFonts w:ascii="Times New Roman" w:hAnsi="Times New Roman"/>
          <w:sz w:val="24"/>
          <w:szCs w:val="24"/>
          <w:lang w:val="pt-PT"/>
        </w:rPr>
      </w:pPr>
      <w:r w:rsidRPr="002D2FDF">
        <w:rPr>
          <w:rFonts w:ascii="Times New Roman" w:hAnsi="Times New Roman"/>
          <w:b/>
          <w:lang w:val="pt-PT"/>
        </w:rPr>
        <w:t>II.10.4</w:t>
      </w:r>
      <w:r w:rsidRPr="002D2FDF">
        <w:rPr>
          <w:rFonts w:ascii="Times New Roman" w:hAnsi="Times New Roman"/>
          <w:lang w:val="pt-PT"/>
        </w:rPr>
        <w:t>. Se o beneficiário não cumprir as suas obrigações previstas no artigo II.10.1, os custos relacionados com o contrato em causa não são considerados elegíveis nos termos do artigo II.19.2, alíneas c), d) e e).</w:t>
      </w:r>
    </w:p>
    <w:p w14:paraId="306EB9E6" w14:textId="77777777" w:rsidR="007A392C" w:rsidRPr="002D2FDF" w:rsidRDefault="00DF48E8">
      <w:pPr>
        <w:spacing w:line="240" w:lineRule="auto"/>
        <w:ind w:left="709" w:hanging="709"/>
        <w:jc w:val="both"/>
        <w:rPr>
          <w:rFonts w:ascii="Times New Roman" w:hAnsi="Times New Roman"/>
          <w:sz w:val="24"/>
          <w:szCs w:val="24"/>
          <w:lang w:val="pt-PT"/>
        </w:rPr>
      </w:pPr>
      <w:r w:rsidRPr="002D2FDF">
        <w:rPr>
          <w:rFonts w:ascii="Times New Roman" w:hAnsi="Times New Roman"/>
          <w:b/>
          <w:lang w:val="pt-PT"/>
        </w:rPr>
        <w:tab/>
      </w:r>
      <w:r w:rsidRPr="002D2FDF">
        <w:rPr>
          <w:rFonts w:ascii="Times New Roman" w:hAnsi="Times New Roman"/>
          <w:lang w:val="pt-PT"/>
        </w:rPr>
        <w:t>Se o beneficiário não cumprir qualquer das suas obrigações nos termos do artigo II.10.2, a subvenção pode ser reduzida em conformidade com o artigo II.25.4.</w:t>
      </w:r>
    </w:p>
    <w:p w14:paraId="22DE6C52" w14:textId="77777777" w:rsidR="007A392C" w:rsidRPr="002D2FDF" w:rsidRDefault="00DF48E8">
      <w:pPr>
        <w:pStyle w:val="Heading2"/>
        <w:rPr>
          <w:rFonts w:ascii="Times New Roman" w:hAnsi="Times New Roman"/>
          <w:lang w:val="pt-PT"/>
        </w:rPr>
      </w:pPr>
      <w:bookmarkStart w:id="40" w:name="_Toc441250841"/>
      <w:bookmarkStart w:id="41" w:name="_Toc446535884"/>
      <w:r w:rsidRPr="002D2FDF">
        <w:rPr>
          <w:rFonts w:ascii="Times New Roman" w:hAnsi="Times New Roman"/>
          <w:lang w:val="pt-PT"/>
        </w:rPr>
        <w:t>Artigo II.11 — Subcontratação de tarefas que fazem parte da ação</w:t>
      </w:r>
      <w:bookmarkEnd w:id="40"/>
      <w:bookmarkEnd w:id="41"/>
    </w:p>
    <w:p w14:paraId="49EE4F5E" w14:textId="77777777" w:rsidR="007A392C" w:rsidRPr="002D2FDF" w:rsidRDefault="00DF48E8">
      <w:pPr>
        <w:spacing w:after="120" w:line="240" w:lineRule="auto"/>
        <w:ind w:left="851" w:hanging="851"/>
        <w:jc w:val="both"/>
        <w:rPr>
          <w:rFonts w:ascii="Times New Roman" w:hAnsi="Times New Roman"/>
          <w:sz w:val="24"/>
          <w:szCs w:val="24"/>
          <w:lang w:val="pt-PT"/>
        </w:rPr>
      </w:pPr>
      <w:r w:rsidRPr="002D2FDF">
        <w:rPr>
          <w:rFonts w:ascii="Times New Roman" w:hAnsi="Times New Roman"/>
          <w:b/>
          <w:lang w:val="pt-PT"/>
        </w:rPr>
        <w:t>II.11.1</w:t>
      </w:r>
      <w:r w:rsidRPr="002D2FDF">
        <w:rPr>
          <w:rFonts w:ascii="Times New Roman" w:hAnsi="Times New Roman"/>
          <w:b/>
          <w:lang w:val="pt-PT"/>
        </w:rPr>
        <w:tab/>
      </w:r>
      <w:r w:rsidRPr="002D2FDF">
        <w:rPr>
          <w:rFonts w:ascii="Times New Roman" w:hAnsi="Times New Roman"/>
          <w:lang w:val="pt-PT"/>
        </w:rPr>
        <w:t xml:space="preserve">O beneficiário pode subcontratar tarefas que façam parte da </w:t>
      </w:r>
      <w:r w:rsidRPr="002D2FDF">
        <w:rPr>
          <w:rFonts w:ascii="Times New Roman" w:hAnsi="Times New Roman"/>
          <w:i/>
          <w:lang w:val="pt-PT"/>
        </w:rPr>
        <w:t>ação</w:t>
      </w:r>
      <w:r w:rsidRPr="002D2FDF">
        <w:rPr>
          <w:rFonts w:ascii="Times New Roman" w:hAnsi="Times New Roman"/>
          <w:lang w:val="pt-PT"/>
        </w:rPr>
        <w:t>. Nesse caso, deve assegurar que, para além das condições especificadas no artigo II.10, as seguintes condições são respeitadas:</w:t>
      </w:r>
    </w:p>
    <w:p w14:paraId="5667B139" w14:textId="77777777" w:rsidR="007A392C" w:rsidRPr="002D2FDF" w:rsidRDefault="00DF48E8">
      <w:pPr>
        <w:numPr>
          <w:ilvl w:val="0"/>
          <w:numId w:val="24"/>
        </w:numPr>
        <w:spacing w:before="120" w:after="120" w:line="240" w:lineRule="auto"/>
        <w:ind w:left="1276" w:hanging="425"/>
        <w:jc w:val="both"/>
        <w:rPr>
          <w:rFonts w:ascii="Times New Roman" w:hAnsi="Times New Roman"/>
          <w:sz w:val="24"/>
          <w:szCs w:val="24"/>
          <w:lang w:val="pt-PT"/>
        </w:rPr>
      </w:pPr>
      <w:r w:rsidRPr="002D2FDF">
        <w:rPr>
          <w:rFonts w:ascii="Times New Roman" w:hAnsi="Times New Roman"/>
          <w:lang w:val="pt-PT"/>
        </w:rPr>
        <w:t xml:space="preserve">A subcontratação não abrange as tarefas essenciais da </w:t>
      </w:r>
      <w:r w:rsidRPr="002D2FDF">
        <w:rPr>
          <w:rFonts w:ascii="Times New Roman" w:hAnsi="Times New Roman"/>
          <w:i/>
          <w:lang w:val="pt-PT"/>
        </w:rPr>
        <w:t>ação</w:t>
      </w:r>
      <w:r w:rsidRPr="002D2FDF">
        <w:rPr>
          <w:rFonts w:ascii="Times New Roman" w:hAnsi="Times New Roman"/>
          <w:lang w:val="pt-PT"/>
        </w:rPr>
        <w:t>;</w:t>
      </w:r>
    </w:p>
    <w:p w14:paraId="6306BD02" w14:textId="77777777" w:rsidR="007A392C" w:rsidRPr="002D2FDF" w:rsidRDefault="00DF48E8">
      <w:pPr>
        <w:numPr>
          <w:ilvl w:val="0"/>
          <w:numId w:val="24"/>
        </w:numPr>
        <w:spacing w:before="120" w:after="120" w:line="240" w:lineRule="auto"/>
        <w:ind w:left="1276" w:hanging="425"/>
        <w:jc w:val="both"/>
        <w:rPr>
          <w:rFonts w:ascii="Times New Roman" w:hAnsi="Times New Roman"/>
          <w:sz w:val="24"/>
          <w:szCs w:val="24"/>
          <w:lang w:val="pt-PT"/>
        </w:rPr>
      </w:pPr>
      <w:r w:rsidRPr="002D2FDF">
        <w:rPr>
          <w:rFonts w:ascii="Times New Roman" w:hAnsi="Times New Roman"/>
          <w:lang w:val="pt-PT"/>
        </w:rPr>
        <w:t xml:space="preserve">O recurso à subcontratação deve ser justificado em relação à natureza da </w:t>
      </w:r>
      <w:r w:rsidRPr="002D2FDF">
        <w:rPr>
          <w:rFonts w:ascii="Times New Roman" w:hAnsi="Times New Roman"/>
          <w:i/>
          <w:lang w:val="pt-PT"/>
        </w:rPr>
        <w:t>ação</w:t>
      </w:r>
      <w:r w:rsidRPr="002D2FDF">
        <w:rPr>
          <w:rFonts w:ascii="Times New Roman" w:hAnsi="Times New Roman"/>
          <w:lang w:val="pt-PT"/>
        </w:rPr>
        <w:t xml:space="preserve"> e às necessidades da sua execução;</w:t>
      </w:r>
    </w:p>
    <w:p w14:paraId="148DE5BF" w14:textId="77777777" w:rsidR="007A392C" w:rsidRPr="002D2FDF" w:rsidRDefault="00DF48E8">
      <w:pPr>
        <w:numPr>
          <w:ilvl w:val="0"/>
          <w:numId w:val="24"/>
        </w:numPr>
        <w:spacing w:before="120" w:after="120" w:line="240" w:lineRule="auto"/>
        <w:ind w:left="1276" w:hanging="425"/>
        <w:jc w:val="both"/>
        <w:rPr>
          <w:rFonts w:ascii="Times New Roman" w:hAnsi="Times New Roman"/>
          <w:sz w:val="24"/>
          <w:szCs w:val="24"/>
          <w:lang w:val="pt-PT"/>
        </w:rPr>
      </w:pPr>
      <w:r w:rsidRPr="002D2FDF">
        <w:rPr>
          <w:rFonts w:ascii="Times New Roman" w:hAnsi="Times New Roman"/>
          <w:lang w:val="pt-PT"/>
        </w:rPr>
        <w:t>Que os custos estimados da subcontratação sejam claramente identificáveis no orçamento previsional apresentado no anexo II;</w:t>
      </w:r>
    </w:p>
    <w:p w14:paraId="22B39912" w14:textId="77777777" w:rsidR="007A392C" w:rsidRDefault="00DF48E8">
      <w:pPr>
        <w:numPr>
          <w:ilvl w:val="0"/>
          <w:numId w:val="24"/>
        </w:numPr>
        <w:spacing w:before="120" w:after="120" w:line="240" w:lineRule="auto"/>
        <w:ind w:left="1276" w:hanging="425"/>
        <w:jc w:val="both"/>
        <w:rPr>
          <w:rFonts w:ascii="Times New Roman" w:hAnsi="Times New Roman"/>
          <w:sz w:val="24"/>
          <w:szCs w:val="24"/>
        </w:rPr>
      </w:pPr>
      <w:r w:rsidRPr="002D2FDF">
        <w:rPr>
          <w:rFonts w:ascii="Times New Roman" w:hAnsi="Times New Roman"/>
          <w:lang w:val="pt-PT"/>
        </w:rPr>
        <w:t xml:space="preserve">O recurso à subcontratação, se não estiver previsto no anexo II, é comunicado pelo beneficiário e aprovado pela Comissão. </w:t>
      </w:r>
      <w:r>
        <w:rPr>
          <w:rFonts w:ascii="Times New Roman" w:hAnsi="Times New Roman"/>
        </w:rPr>
        <w:t>A Comissão pode aprovar:</w:t>
      </w:r>
    </w:p>
    <w:p w14:paraId="5F04025B" w14:textId="77777777" w:rsidR="007A392C" w:rsidRPr="002D2FDF" w:rsidRDefault="00DF48E8">
      <w:pPr>
        <w:spacing w:after="0" w:line="240" w:lineRule="auto"/>
        <w:ind w:left="1701" w:hanging="425"/>
        <w:jc w:val="both"/>
        <w:rPr>
          <w:rFonts w:ascii="Times New Roman" w:hAnsi="Times New Roman"/>
          <w:sz w:val="24"/>
          <w:szCs w:val="24"/>
          <w:lang w:val="pt-PT"/>
        </w:rPr>
      </w:pPr>
      <w:r w:rsidRPr="002D2FDF">
        <w:rPr>
          <w:rFonts w:ascii="Times New Roman" w:hAnsi="Times New Roman"/>
          <w:lang w:val="pt-PT"/>
        </w:rPr>
        <w:t xml:space="preserve">i) antes de qualquer recurso à subcontratação, se o beneficiário solicitar uma alteração, como previsto no artigo II.13; ou </w:t>
      </w:r>
    </w:p>
    <w:p w14:paraId="37DB4D74" w14:textId="77777777" w:rsidR="007A392C" w:rsidRPr="002D2FDF" w:rsidRDefault="00DF48E8">
      <w:pPr>
        <w:spacing w:after="0" w:line="240" w:lineRule="auto"/>
        <w:ind w:left="1701" w:hanging="425"/>
        <w:jc w:val="both"/>
        <w:rPr>
          <w:rFonts w:ascii="Times New Roman" w:hAnsi="Times New Roman"/>
          <w:sz w:val="24"/>
          <w:szCs w:val="24"/>
          <w:lang w:val="pt-PT"/>
        </w:rPr>
      </w:pPr>
      <w:r w:rsidRPr="002D2FDF">
        <w:rPr>
          <w:rFonts w:ascii="Times New Roman" w:hAnsi="Times New Roman"/>
          <w:lang w:val="pt-PT"/>
        </w:rPr>
        <w:t>ii) após o recurso à subcontratação, se a subcontratação:</w:t>
      </w:r>
    </w:p>
    <w:p w14:paraId="7337204C" w14:textId="77777777" w:rsidR="007A392C" w:rsidRPr="002D2FDF" w:rsidRDefault="00DF48E8">
      <w:pPr>
        <w:spacing w:after="0" w:line="240" w:lineRule="auto"/>
        <w:ind w:left="1701"/>
        <w:jc w:val="both"/>
        <w:rPr>
          <w:rFonts w:ascii="Times New Roman" w:hAnsi="Times New Roman"/>
          <w:sz w:val="24"/>
          <w:szCs w:val="24"/>
          <w:lang w:val="pt-PT"/>
        </w:rPr>
      </w:pPr>
      <w:r w:rsidRPr="002D2FDF">
        <w:rPr>
          <w:rFonts w:ascii="Times New Roman" w:hAnsi="Times New Roman"/>
          <w:lang w:val="pt-PT"/>
        </w:rPr>
        <w:t>- for especificamente justificada no relatório técnico intercalar ou final referido no artigo II.4.3 e I.4.4; e</w:t>
      </w:r>
    </w:p>
    <w:p w14:paraId="24DEF68D" w14:textId="77777777" w:rsidR="007A392C" w:rsidRPr="002D2FDF" w:rsidRDefault="00DF48E8">
      <w:pPr>
        <w:spacing w:after="0" w:line="240" w:lineRule="auto"/>
        <w:ind w:left="1701"/>
        <w:jc w:val="both"/>
        <w:rPr>
          <w:rFonts w:ascii="Times New Roman" w:hAnsi="Times New Roman"/>
          <w:sz w:val="24"/>
          <w:szCs w:val="24"/>
          <w:lang w:val="pt-PT"/>
        </w:rPr>
      </w:pPr>
      <w:r w:rsidRPr="002D2FDF">
        <w:rPr>
          <w:rFonts w:ascii="Times New Roman" w:hAnsi="Times New Roman"/>
          <w:lang w:val="pt-PT"/>
        </w:rPr>
        <w:t>- não implicar alterações à convenção que possam pôr em causa a decisão de concessão da subvenção ou violar o princípio da igualdade de tratamento dos candidatos;</w:t>
      </w:r>
    </w:p>
    <w:p w14:paraId="18A54B47" w14:textId="77777777" w:rsidR="007A392C" w:rsidRPr="002D2FDF" w:rsidRDefault="00DF48E8">
      <w:pPr>
        <w:numPr>
          <w:ilvl w:val="0"/>
          <w:numId w:val="24"/>
        </w:numPr>
        <w:spacing w:before="100" w:beforeAutospacing="1" w:after="100" w:afterAutospacing="1" w:line="240" w:lineRule="auto"/>
        <w:ind w:left="1276" w:hanging="425"/>
        <w:jc w:val="both"/>
        <w:rPr>
          <w:rFonts w:ascii="Times New Roman" w:hAnsi="Times New Roman"/>
          <w:sz w:val="24"/>
          <w:szCs w:val="24"/>
          <w:lang w:val="pt-PT"/>
        </w:rPr>
      </w:pPr>
      <w:r w:rsidRPr="002D2FDF">
        <w:rPr>
          <w:rFonts w:ascii="Times New Roman" w:hAnsi="Times New Roman"/>
          <w:lang w:val="pt-PT"/>
        </w:rPr>
        <w:t>O beneficiário assegura que as condições que lhe são aplicáveis nos termos do artigo II.8 são igualmente aplicáveis aos subcontratantes.</w:t>
      </w:r>
    </w:p>
    <w:p w14:paraId="1845A448" w14:textId="2EED5526" w:rsidR="007A392C" w:rsidRPr="002D2FDF" w:rsidRDefault="00DF48E8">
      <w:pPr>
        <w:adjustRightInd w:val="0"/>
        <w:spacing w:after="0" w:line="240" w:lineRule="auto"/>
        <w:ind w:left="709" w:hanging="709"/>
        <w:jc w:val="both"/>
        <w:rPr>
          <w:rFonts w:ascii="Times New Roman" w:hAnsi="Times New Roman"/>
          <w:sz w:val="24"/>
          <w:szCs w:val="24"/>
          <w:lang w:val="pt-PT"/>
        </w:rPr>
      </w:pPr>
      <w:r w:rsidRPr="002D2FDF">
        <w:rPr>
          <w:rFonts w:ascii="Times New Roman" w:hAnsi="Times New Roman"/>
          <w:b/>
          <w:lang w:val="pt-PT"/>
        </w:rPr>
        <w:t>II.11.2</w:t>
      </w:r>
      <w:r w:rsidRPr="002D2FDF">
        <w:rPr>
          <w:rFonts w:ascii="Times New Roman" w:hAnsi="Times New Roman"/>
          <w:lang w:val="pt-PT"/>
        </w:rPr>
        <w:t xml:space="preserve"> Se o beneficiário incumprir as suas obrigações previstas no artigo II.11.1, alíneas a), b), c) ou d), os custos relacionados com o contrato em causa não são considerados elegíveis nos termos do artigo II.19.2, alínea f).  </w:t>
      </w:r>
    </w:p>
    <w:p w14:paraId="61E8641A" w14:textId="77777777" w:rsidR="007A392C" w:rsidRPr="002D2FDF" w:rsidRDefault="007A392C">
      <w:pPr>
        <w:adjustRightInd w:val="0"/>
        <w:spacing w:after="0" w:line="240" w:lineRule="auto"/>
        <w:ind w:left="709" w:hanging="709"/>
        <w:jc w:val="both"/>
        <w:rPr>
          <w:rFonts w:ascii="Times New Roman" w:hAnsi="Times New Roman"/>
          <w:sz w:val="24"/>
          <w:szCs w:val="24"/>
          <w:lang w:val="pt-PT"/>
        </w:rPr>
      </w:pPr>
    </w:p>
    <w:p w14:paraId="42BC2E8E" w14:textId="77777777" w:rsidR="007A392C" w:rsidRPr="002D2FDF" w:rsidRDefault="00DF48E8">
      <w:pPr>
        <w:adjustRightInd w:val="0"/>
        <w:spacing w:after="0" w:line="240" w:lineRule="auto"/>
        <w:ind w:left="709"/>
        <w:jc w:val="both"/>
        <w:rPr>
          <w:rFonts w:ascii="Times New Roman" w:hAnsi="Times New Roman"/>
          <w:sz w:val="24"/>
          <w:szCs w:val="24"/>
          <w:lang w:val="pt-PT"/>
        </w:rPr>
      </w:pPr>
      <w:r w:rsidRPr="002D2FDF">
        <w:rPr>
          <w:rFonts w:ascii="Times New Roman" w:hAnsi="Times New Roman"/>
          <w:lang w:val="pt-PT"/>
        </w:rPr>
        <w:t>Se o beneficiário incumprir qualquer das suas obrigações nos termos do artigo II.11.1, alínea e), a subvenção pode ser reduzida em conformidade com o artigo II.25.4.</w:t>
      </w:r>
    </w:p>
    <w:p w14:paraId="4852D39A" w14:textId="77777777" w:rsidR="007A392C" w:rsidRPr="002D2FDF" w:rsidRDefault="00DF48E8">
      <w:pPr>
        <w:pStyle w:val="Heading2"/>
        <w:rPr>
          <w:rFonts w:ascii="Times New Roman" w:hAnsi="Times New Roman"/>
          <w:lang w:val="pt-PT"/>
        </w:rPr>
      </w:pPr>
      <w:bookmarkStart w:id="42" w:name="_Toc441250842"/>
      <w:bookmarkStart w:id="43" w:name="_Toc446535885"/>
      <w:r w:rsidRPr="002D2FDF">
        <w:rPr>
          <w:rFonts w:ascii="Times New Roman" w:hAnsi="Times New Roman"/>
          <w:lang w:val="pt-PT"/>
        </w:rPr>
        <w:t>Artigo II.12 — Apoio financeiro a terceiros</w:t>
      </w:r>
      <w:bookmarkEnd w:id="42"/>
      <w:bookmarkEnd w:id="43"/>
    </w:p>
    <w:p w14:paraId="2C8CA8DE" w14:textId="77777777" w:rsidR="007A392C" w:rsidRPr="002D2FDF" w:rsidRDefault="00DF48E8">
      <w:pPr>
        <w:spacing w:after="0" w:line="240" w:lineRule="auto"/>
        <w:ind w:left="851" w:hanging="851"/>
        <w:jc w:val="both"/>
        <w:rPr>
          <w:rFonts w:ascii="Times New Roman" w:hAnsi="Times New Roman"/>
          <w:sz w:val="24"/>
          <w:szCs w:val="24"/>
          <w:lang w:val="pt-PT"/>
        </w:rPr>
      </w:pPr>
      <w:r w:rsidRPr="002D2FDF">
        <w:rPr>
          <w:rFonts w:ascii="Times New Roman" w:hAnsi="Times New Roman"/>
          <w:b/>
          <w:lang w:val="pt-PT"/>
        </w:rPr>
        <w:t>II.12.1</w:t>
      </w:r>
      <w:r w:rsidRPr="002D2FDF">
        <w:rPr>
          <w:rFonts w:ascii="Times New Roman" w:hAnsi="Times New Roman"/>
          <w:b/>
          <w:lang w:val="pt-PT"/>
        </w:rPr>
        <w:tab/>
      </w:r>
      <w:r w:rsidRPr="002D2FDF">
        <w:rPr>
          <w:rFonts w:ascii="Times New Roman" w:hAnsi="Times New Roman"/>
          <w:lang w:val="pt-PT"/>
        </w:rPr>
        <w:t xml:space="preserve">Se durante a execução da </w:t>
      </w:r>
      <w:r w:rsidRPr="002D2FDF">
        <w:rPr>
          <w:rFonts w:ascii="Times New Roman" w:hAnsi="Times New Roman"/>
          <w:i/>
          <w:lang w:val="pt-PT"/>
        </w:rPr>
        <w:t>ação</w:t>
      </w:r>
      <w:r w:rsidRPr="002D2FDF">
        <w:rPr>
          <w:rFonts w:ascii="Times New Roman" w:hAnsi="Times New Roman"/>
          <w:lang w:val="pt-PT"/>
        </w:rPr>
        <w:t xml:space="preserve"> o beneficiário tiver de conceder apoio financeiro a terceiros, deve prestar esse apoio financeiro em conformidade com as condições especificadas no anexo II. De acordo com essas condições, devem ser dadas as seguintes informações:</w:t>
      </w:r>
    </w:p>
    <w:p w14:paraId="2B371209" w14:textId="66190D79" w:rsidR="007A392C" w:rsidRPr="002D2FDF" w:rsidRDefault="00DF48E8">
      <w:pPr>
        <w:numPr>
          <w:ilvl w:val="0"/>
          <w:numId w:val="25"/>
        </w:numPr>
        <w:spacing w:before="120" w:after="120" w:line="240" w:lineRule="auto"/>
        <w:jc w:val="both"/>
        <w:rPr>
          <w:rFonts w:ascii="Times New Roman" w:hAnsi="Times New Roman"/>
          <w:sz w:val="24"/>
          <w:szCs w:val="24"/>
          <w:lang w:val="pt-PT"/>
        </w:rPr>
      </w:pPr>
      <w:r w:rsidRPr="002D2FDF">
        <w:rPr>
          <w:rFonts w:ascii="Times New Roman" w:hAnsi="Times New Roman"/>
          <w:lang w:val="pt-PT"/>
        </w:rPr>
        <w:t xml:space="preserve">O montante máximo de apoio financeiro. Este montante não pode ser superior a 60 000 EUR por cada terceiro, exceto se a realização do objetivo da </w:t>
      </w:r>
      <w:r w:rsidRPr="002D2FDF">
        <w:rPr>
          <w:rFonts w:ascii="Times New Roman" w:hAnsi="Times New Roman"/>
          <w:i/>
          <w:lang w:val="pt-PT"/>
        </w:rPr>
        <w:t>ação</w:t>
      </w:r>
      <w:r w:rsidRPr="002D2FDF">
        <w:rPr>
          <w:rFonts w:ascii="Times New Roman" w:hAnsi="Times New Roman"/>
          <w:lang w:val="pt-PT"/>
        </w:rPr>
        <w:t>, tal como especificado no anexo II, for impossível ou excessivamente difícil;</w:t>
      </w:r>
    </w:p>
    <w:p w14:paraId="7ABB9E62" w14:textId="77777777" w:rsidR="007A392C" w:rsidRPr="002D2FDF" w:rsidRDefault="00DF48E8">
      <w:pPr>
        <w:numPr>
          <w:ilvl w:val="0"/>
          <w:numId w:val="25"/>
        </w:numPr>
        <w:spacing w:before="120" w:after="120" w:line="240" w:lineRule="auto"/>
        <w:jc w:val="both"/>
        <w:rPr>
          <w:rFonts w:ascii="Times New Roman" w:hAnsi="Times New Roman"/>
          <w:sz w:val="24"/>
          <w:szCs w:val="24"/>
          <w:lang w:val="pt-PT"/>
        </w:rPr>
      </w:pPr>
      <w:r w:rsidRPr="002D2FDF">
        <w:rPr>
          <w:rFonts w:ascii="Times New Roman" w:hAnsi="Times New Roman"/>
          <w:lang w:val="pt-PT"/>
        </w:rPr>
        <w:t>Os critérios para a determinação do montante exato do apoio financeiro;</w:t>
      </w:r>
    </w:p>
    <w:p w14:paraId="0AB821DF" w14:textId="77777777" w:rsidR="007A392C" w:rsidRPr="002D2FDF" w:rsidRDefault="00DF48E8">
      <w:pPr>
        <w:numPr>
          <w:ilvl w:val="0"/>
          <w:numId w:val="25"/>
        </w:numPr>
        <w:spacing w:before="120" w:after="120" w:line="240" w:lineRule="auto"/>
        <w:jc w:val="both"/>
        <w:rPr>
          <w:rFonts w:ascii="Times New Roman" w:hAnsi="Times New Roman"/>
          <w:sz w:val="24"/>
          <w:szCs w:val="24"/>
          <w:lang w:val="pt-PT"/>
        </w:rPr>
      </w:pPr>
      <w:r w:rsidRPr="002D2FDF">
        <w:rPr>
          <w:rFonts w:ascii="Times New Roman" w:hAnsi="Times New Roman"/>
          <w:lang w:val="pt-PT"/>
        </w:rPr>
        <w:t>Os diferentes tipos de atividades que podem receber apoio financeiro, com base numa lista fixa;</w:t>
      </w:r>
    </w:p>
    <w:p w14:paraId="54F81CAF" w14:textId="77777777" w:rsidR="007A392C" w:rsidRPr="002D2FDF" w:rsidRDefault="00DF48E8">
      <w:pPr>
        <w:numPr>
          <w:ilvl w:val="0"/>
          <w:numId w:val="25"/>
        </w:numPr>
        <w:spacing w:before="120" w:after="120" w:line="240" w:lineRule="auto"/>
        <w:jc w:val="both"/>
        <w:rPr>
          <w:rFonts w:ascii="Times New Roman" w:hAnsi="Times New Roman"/>
          <w:sz w:val="24"/>
          <w:szCs w:val="24"/>
          <w:lang w:val="pt-PT"/>
        </w:rPr>
      </w:pPr>
      <w:r w:rsidRPr="002D2FDF">
        <w:rPr>
          <w:rFonts w:ascii="Times New Roman" w:hAnsi="Times New Roman"/>
          <w:lang w:val="pt-PT"/>
        </w:rPr>
        <w:t>Os tipos ou categorias de pessoas que podem receber apoio financeiro;</w:t>
      </w:r>
    </w:p>
    <w:p w14:paraId="4D715A03" w14:textId="77777777" w:rsidR="007A392C" w:rsidRPr="002D2FDF" w:rsidRDefault="00DF48E8">
      <w:pPr>
        <w:numPr>
          <w:ilvl w:val="0"/>
          <w:numId w:val="25"/>
        </w:numPr>
        <w:spacing w:before="120" w:after="120" w:line="240" w:lineRule="auto"/>
        <w:ind w:left="1077" w:hanging="357"/>
        <w:jc w:val="both"/>
        <w:rPr>
          <w:rFonts w:ascii="Times New Roman" w:hAnsi="Times New Roman"/>
          <w:sz w:val="24"/>
          <w:szCs w:val="24"/>
          <w:lang w:val="pt-PT"/>
        </w:rPr>
      </w:pPr>
      <w:r w:rsidRPr="002D2FDF">
        <w:rPr>
          <w:rFonts w:ascii="Times New Roman" w:hAnsi="Times New Roman"/>
          <w:lang w:val="pt-PT"/>
        </w:rPr>
        <w:t>Os critérios para a concessão de apoio financeiro.</w:t>
      </w:r>
    </w:p>
    <w:p w14:paraId="10970946" w14:textId="77777777" w:rsidR="007A392C" w:rsidRPr="002D2FDF" w:rsidRDefault="00DF48E8">
      <w:pPr>
        <w:spacing w:after="120" w:line="240" w:lineRule="auto"/>
        <w:ind w:left="851" w:hanging="851"/>
        <w:jc w:val="both"/>
        <w:rPr>
          <w:rFonts w:ascii="Times New Roman" w:hAnsi="Times New Roman"/>
          <w:sz w:val="24"/>
          <w:szCs w:val="24"/>
          <w:lang w:val="pt-PT"/>
        </w:rPr>
      </w:pPr>
      <w:r w:rsidRPr="002D2FDF">
        <w:rPr>
          <w:rFonts w:ascii="Times New Roman" w:hAnsi="Times New Roman"/>
          <w:b/>
          <w:lang w:val="pt-PT"/>
        </w:rPr>
        <w:t>II.12.2</w:t>
      </w:r>
      <w:r w:rsidRPr="002D2FDF">
        <w:rPr>
          <w:rFonts w:ascii="Times New Roman" w:hAnsi="Times New Roman"/>
          <w:lang w:val="pt-PT"/>
        </w:rPr>
        <w:tab/>
        <w:t>Em derrogação do artigo II.12.1, se o apoio financeiro assumir a forma de um prémio, o beneficiário deve prestar esse apoio financeiro em conformidade com as condições especificadas no anexo II. De acordo com essas condições, devem ser dadas as seguintes informações:</w:t>
      </w:r>
    </w:p>
    <w:p w14:paraId="0D4B704A" w14:textId="6A26B89D" w:rsidR="007A392C" w:rsidRPr="002D2FDF" w:rsidRDefault="00DF48E8">
      <w:pPr>
        <w:tabs>
          <w:tab w:val="left" w:pos="1276"/>
        </w:tabs>
        <w:adjustRightInd w:val="0"/>
        <w:spacing w:before="120" w:after="120" w:line="240" w:lineRule="auto"/>
        <w:ind w:left="1276" w:hanging="425"/>
        <w:jc w:val="both"/>
        <w:rPr>
          <w:rFonts w:ascii="Times New Roman" w:hAnsi="Times New Roman"/>
          <w:sz w:val="24"/>
          <w:szCs w:val="24"/>
          <w:lang w:val="pt-PT"/>
        </w:rPr>
      </w:pPr>
      <w:r w:rsidRPr="002D2FDF">
        <w:rPr>
          <w:rFonts w:ascii="Times New Roman" w:hAnsi="Times New Roman"/>
          <w:lang w:val="pt-PT"/>
        </w:rPr>
        <w:t xml:space="preserve">a) </w:t>
      </w:r>
      <w:r w:rsidRPr="002D2FDF">
        <w:rPr>
          <w:rFonts w:ascii="Times New Roman" w:hAnsi="Times New Roman"/>
          <w:lang w:val="pt-PT"/>
        </w:rPr>
        <w:tab/>
        <w:t>Critérios de elegibilidade e de atribuição;</w:t>
      </w:r>
    </w:p>
    <w:p w14:paraId="2D97623B" w14:textId="62861DEC" w:rsidR="007A392C" w:rsidRPr="002D2FDF" w:rsidRDefault="009C1770">
      <w:pPr>
        <w:tabs>
          <w:tab w:val="left" w:pos="1276"/>
        </w:tabs>
        <w:adjustRightInd w:val="0"/>
        <w:spacing w:before="120" w:after="120" w:line="240" w:lineRule="auto"/>
        <w:ind w:left="1276" w:hanging="425"/>
        <w:jc w:val="both"/>
        <w:rPr>
          <w:rFonts w:ascii="Times New Roman" w:hAnsi="Times New Roman"/>
          <w:sz w:val="24"/>
          <w:szCs w:val="24"/>
          <w:lang w:val="pt-PT"/>
        </w:rPr>
      </w:pPr>
      <w:r w:rsidRPr="002D2FDF">
        <w:rPr>
          <w:rFonts w:ascii="Times New Roman" w:hAnsi="Times New Roman"/>
          <w:lang w:val="pt-PT"/>
        </w:rPr>
        <w:t xml:space="preserve"> b) </w:t>
      </w:r>
      <w:r w:rsidRPr="002D2FDF">
        <w:rPr>
          <w:rFonts w:ascii="Times New Roman" w:hAnsi="Times New Roman"/>
          <w:lang w:val="pt-PT"/>
        </w:rPr>
        <w:tab/>
        <w:t>O valor do prémio;</w:t>
      </w:r>
    </w:p>
    <w:p w14:paraId="23A049ED" w14:textId="4E36E510" w:rsidR="007A392C" w:rsidRPr="002D2FDF" w:rsidRDefault="00DF48E8">
      <w:pPr>
        <w:tabs>
          <w:tab w:val="left" w:pos="1276"/>
        </w:tabs>
        <w:adjustRightInd w:val="0"/>
        <w:spacing w:before="120" w:after="120" w:line="240" w:lineRule="auto"/>
        <w:ind w:left="1276" w:hanging="425"/>
        <w:jc w:val="both"/>
        <w:rPr>
          <w:rFonts w:ascii="Times New Roman" w:hAnsi="Times New Roman"/>
          <w:sz w:val="24"/>
          <w:szCs w:val="24"/>
          <w:lang w:val="pt-PT"/>
        </w:rPr>
      </w:pPr>
      <w:r w:rsidRPr="002D2FDF">
        <w:rPr>
          <w:rFonts w:ascii="Times New Roman" w:hAnsi="Times New Roman"/>
          <w:lang w:val="pt-PT"/>
        </w:rPr>
        <w:t xml:space="preserve">c) </w:t>
      </w:r>
      <w:r w:rsidRPr="002D2FDF">
        <w:rPr>
          <w:rFonts w:ascii="Times New Roman" w:hAnsi="Times New Roman"/>
          <w:lang w:val="pt-PT"/>
        </w:rPr>
        <w:tab/>
        <w:t>As modalidades de pagamento.</w:t>
      </w:r>
    </w:p>
    <w:p w14:paraId="5740D06E" w14:textId="77777777" w:rsidR="007A392C" w:rsidRPr="002D2FDF" w:rsidRDefault="00DF48E8">
      <w:pPr>
        <w:spacing w:line="240" w:lineRule="auto"/>
        <w:ind w:left="851" w:hanging="851"/>
        <w:jc w:val="both"/>
        <w:rPr>
          <w:rFonts w:ascii="Times New Roman" w:hAnsi="Times New Roman"/>
          <w:sz w:val="24"/>
          <w:szCs w:val="24"/>
          <w:lang w:val="pt-PT"/>
        </w:rPr>
      </w:pPr>
      <w:r w:rsidRPr="002D2FDF">
        <w:rPr>
          <w:rFonts w:ascii="Times New Roman" w:hAnsi="Times New Roman"/>
          <w:b/>
          <w:lang w:val="pt-PT"/>
        </w:rPr>
        <w:t>II.12.3</w:t>
      </w:r>
      <w:r w:rsidRPr="002D2FDF">
        <w:rPr>
          <w:rFonts w:ascii="Times New Roman" w:hAnsi="Times New Roman"/>
          <w:b/>
          <w:lang w:val="pt-PT"/>
        </w:rPr>
        <w:tab/>
      </w:r>
      <w:r w:rsidRPr="002D2FDF">
        <w:rPr>
          <w:rFonts w:ascii="Times New Roman" w:hAnsi="Times New Roman"/>
          <w:lang w:val="pt-PT"/>
        </w:rPr>
        <w:t>O beneficiário deve assegurar que as condições que lhes são aplicáveis nos termos dos artigos II.4, II.5, II.6, II.8, II.9 e II.27 são igualmente aplicáveis aos terceiros que recebem o apoio financeiro.</w:t>
      </w:r>
    </w:p>
    <w:p w14:paraId="6C88E2CD" w14:textId="77777777" w:rsidR="007A392C" w:rsidRPr="002D2FDF" w:rsidRDefault="00DF48E8">
      <w:pPr>
        <w:pStyle w:val="Heading2"/>
        <w:rPr>
          <w:rFonts w:ascii="Times New Roman" w:hAnsi="Times New Roman"/>
          <w:lang w:val="pt-PT"/>
        </w:rPr>
      </w:pPr>
      <w:bookmarkStart w:id="44" w:name="_Toc441250843"/>
      <w:bookmarkStart w:id="45" w:name="_Toc446535886"/>
      <w:r w:rsidRPr="002D2FDF">
        <w:rPr>
          <w:rFonts w:ascii="Times New Roman" w:hAnsi="Times New Roman"/>
          <w:lang w:val="pt-PT"/>
        </w:rPr>
        <w:t>Artigo II.13 — Alterações à convenção</w:t>
      </w:r>
      <w:bookmarkEnd w:id="44"/>
      <w:bookmarkEnd w:id="45"/>
    </w:p>
    <w:p w14:paraId="5A71C051" w14:textId="77777777" w:rsidR="007A392C" w:rsidRPr="002D2FDF" w:rsidRDefault="00DF48E8">
      <w:pPr>
        <w:spacing w:line="240" w:lineRule="auto"/>
        <w:ind w:left="851" w:hanging="851"/>
        <w:jc w:val="both"/>
        <w:rPr>
          <w:rFonts w:ascii="Times New Roman" w:hAnsi="Times New Roman"/>
          <w:sz w:val="24"/>
          <w:szCs w:val="24"/>
          <w:lang w:val="pt-PT"/>
        </w:rPr>
      </w:pPr>
      <w:r w:rsidRPr="002D2FDF">
        <w:rPr>
          <w:rFonts w:ascii="Times New Roman" w:hAnsi="Times New Roman"/>
          <w:b/>
          <w:lang w:val="pt-PT"/>
        </w:rPr>
        <w:t>II.13.1</w:t>
      </w:r>
      <w:r w:rsidRPr="002D2FDF">
        <w:rPr>
          <w:rFonts w:ascii="Times New Roman" w:hAnsi="Times New Roman"/>
          <w:lang w:val="pt-PT"/>
        </w:rPr>
        <w:tab/>
        <w:t>As alterações à convenção devem ser efetuadas por escrito.</w:t>
      </w:r>
    </w:p>
    <w:p w14:paraId="58EBC85A" w14:textId="77777777" w:rsidR="007A392C" w:rsidRPr="002D2FDF" w:rsidRDefault="00DF48E8">
      <w:pPr>
        <w:spacing w:line="240" w:lineRule="auto"/>
        <w:ind w:left="851" w:hanging="851"/>
        <w:jc w:val="both"/>
        <w:rPr>
          <w:rFonts w:ascii="Times New Roman" w:hAnsi="Times New Roman"/>
          <w:sz w:val="24"/>
          <w:szCs w:val="24"/>
          <w:lang w:val="pt-PT"/>
        </w:rPr>
      </w:pPr>
      <w:r w:rsidRPr="002D2FDF">
        <w:rPr>
          <w:rFonts w:ascii="Times New Roman" w:hAnsi="Times New Roman"/>
          <w:b/>
          <w:lang w:val="pt-PT"/>
        </w:rPr>
        <w:t>II.13.2</w:t>
      </w:r>
      <w:r w:rsidRPr="002D2FDF">
        <w:rPr>
          <w:rFonts w:ascii="Times New Roman" w:hAnsi="Times New Roman"/>
          <w:lang w:val="pt-PT"/>
        </w:rPr>
        <w:tab/>
        <w:t>Nenhuma alteração pode ter por objeto ou por efeito introduzir na convenção modificações que possam pôr em causa a decisão de concessão da subvenção ou violar a igualdade de tratamento dos candidatos.</w:t>
      </w:r>
    </w:p>
    <w:p w14:paraId="6872183C" w14:textId="77777777" w:rsidR="007A392C" w:rsidRPr="002D2FDF" w:rsidRDefault="00DF48E8">
      <w:pPr>
        <w:spacing w:after="120" w:line="240" w:lineRule="auto"/>
        <w:ind w:left="851" w:hanging="851"/>
        <w:jc w:val="both"/>
        <w:rPr>
          <w:rFonts w:ascii="Times New Roman" w:hAnsi="Times New Roman"/>
          <w:sz w:val="24"/>
          <w:szCs w:val="24"/>
          <w:lang w:val="pt-PT"/>
        </w:rPr>
      </w:pPr>
      <w:r w:rsidRPr="002D2FDF">
        <w:rPr>
          <w:rFonts w:ascii="Times New Roman" w:hAnsi="Times New Roman"/>
          <w:b/>
          <w:lang w:val="pt-PT"/>
        </w:rPr>
        <w:t>II.13.3</w:t>
      </w:r>
      <w:r w:rsidRPr="002D2FDF">
        <w:rPr>
          <w:rFonts w:ascii="Times New Roman" w:hAnsi="Times New Roman"/>
          <w:lang w:val="pt-PT"/>
        </w:rPr>
        <w:tab/>
        <w:t>Os pedidos de alteração devem:</w:t>
      </w:r>
    </w:p>
    <w:p w14:paraId="7C189314" w14:textId="77777777" w:rsidR="007A392C" w:rsidRDefault="00DF48E8">
      <w:pPr>
        <w:numPr>
          <w:ilvl w:val="0"/>
          <w:numId w:val="26"/>
        </w:numPr>
        <w:spacing w:before="120" w:after="120" w:line="240" w:lineRule="auto"/>
        <w:ind w:left="1208" w:hanging="357"/>
        <w:jc w:val="both"/>
        <w:rPr>
          <w:rFonts w:ascii="Times New Roman" w:hAnsi="Times New Roman"/>
          <w:sz w:val="24"/>
          <w:szCs w:val="24"/>
        </w:rPr>
      </w:pPr>
      <w:r>
        <w:rPr>
          <w:rFonts w:ascii="Times New Roman" w:hAnsi="Times New Roman"/>
        </w:rPr>
        <w:t>Ser devidamente justificados;</w:t>
      </w:r>
    </w:p>
    <w:p w14:paraId="55CF6BF0" w14:textId="77777777" w:rsidR="007A392C" w:rsidRPr="002D2FDF" w:rsidRDefault="00DF48E8">
      <w:pPr>
        <w:numPr>
          <w:ilvl w:val="0"/>
          <w:numId w:val="26"/>
        </w:numPr>
        <w:spacing w:before="120" w:after="120" w:line="240" w:lineRule="auto"/>
        <w:ind w:left="1208" w:hanging="357"/>
        <w:jc w:val="both"/>
        <w:rPr>
          <w:rFonts w:ascii="Times New Roman" w:hAnsi="Times New Roman"/>
          <w:sz w:val="24"/>
          <w:szCs w:val="24"/>
          <w:lang w:val="pt-PT"/>
        </w:rPr>
      </w:pPr>
      <w:r w:rsidRPr="002D2FDF">
        <w:rPr>
          <w:rFonts w:ascii="Times New Roman" w:hAnsi="Times New Roman"/>
          <w:lang w:val="pt-PT"/>
        </w:rPr>
        <w:t>Ser acompanhados dos documentos comprovativos adequados; e</w:t>
      </w:r>
    </w:p>
    <w:p w14:paraId="116CB1D4" w14:textId="77777777" w:rsidR="007A392C" w:rsidRPr="002D2FDF" w:rsidRDefault="00DF48E8">
      <w:pPr>
        <w:numPr>
          <w:ilvl w:val="0"/>
          <w:numId w:val="26"/>
        </w:numPr>
        <w:spacing w:before="120" w:after="120" w:line="240" w:lineRule="auto"/>
        <w:ind w:left="1208" w:hanging="357"/>
        <w:jc w:val="both"/>
        <w:rPr>
          <w:rFonts w:ascii="Times New Roman" w:hAnsi="Times New Roman"/>
          <w:sz w:val="24"/>
          <w:szCs w:val="24"/>
          <w:lang w:val="pt-PT"/>
        </w:rPr>
      </w:pPr>
      <w:r w:rsidRPr="002D2FDF">
        <w:rPr>
          <w:rFonts w:ascii="Times New Roman" w:hAnsi="Times New Roman"/>
          <w:lang w:val="pt-PT"/>
        </w:rPr>
        <w:t xml:space="preserve">Ser enviados à outra parte atempadamente, antes da produção de efeitos e, de qualquer forma, um mês antes do final do </w:t>
      </w:r>
      <w:r w:rsidRPr="002D2FDF">
        <w:rPr>
          <w:rFonts w:ascii="Times New Roman" w:hAnsi="Times New Roman"/>
          <w:i/>
          <w:lang w:val="pt-PT"/>
        </w:rPr>
        <w:t>período de execução</w:t>
      </w:r>
      <w:r w:rsidRPr="002D2FDF">
        <w:rPr>
          <w:rFonts w:ascii="Times New Roman" w:hAnsi="Times New Roman"/>
          <w:lang w:val="pt-PT"/>
        </w:rPr>
        <w:t>.</w:t>
      </w:r>
    </w:p>
    <w:p w14:paraId="11EECB1D" w14:textId="77777777" w:rsidR="007A392C" w:rsidRPr="002D2FDF" w:rsidRDefault="00DF48E8">
      <w:pPr>
        <w:spacing w:line="240" w:lineRule="auto"/>
        <w:ind w:left="851"/>
        <w:jc w:val="both"/>
        <w:rPr>
          <w:rFonts w:ascii="Times New Roman" w:hAnsi="Times New Roman"/>
          <w:sz w:val="24"/>
          <w:szCs w:val="24"/>
          <w:lang w:val="pt-PT"/>
        </w:rPr>
      </w:pPr>
      <w:r w:rsidRPr="002D2FDF">
        <w:rPr>
          <w:rFonts w:ascii="Times New Roman" w:hAnsi="Times New Roman"/>
          <w:lang w:val="pt-PT"/>
        </w:rPr>
        <w:t>A alínea c) não se aplica nos casos devidamente justificados pela parte que requer a alteração, desde que a outra parte concorde.</w:t>
      </w:r>
    </w:p>
    <w:p w14:paraId="10F2DAC0" w14:textId="77777777" w:rsidR="007A392C" w:rsidRPr="002D2FDF" w:rsidRDefault="00DF48E8">
      <w:pPr>
        <w:spacing w:line="240" w:lineRule="auto"/>
        <w:ind w:left="851" w:hanging="851"/>
        <w:jc w:val="both"/>
        <w:rPr>
          <w:rFonts w:ascii="Times New Roman" w:hAnsi="Times New Roman"/>
          <w:sz w:val="24"/>
          <w:szCs w:val="24"/>
          <w:lang w:val="pt-PT"/>
        </w:rPr>
      </w:pPr>
      <w:r w:rsidRPr="002D2FDF">
        <w:rPr>
          <w:rFonts w:ascii="Times New Roman" w:hAnsi="Times New Roman"/>
          <w:b/>
          <w:lang w:val="pt-PT"/>
        </w:rPr>
        <w:t>II.13.4</w:t>
      </w:r>
      <w:r w:rsidRPr="002D2FDF">
        <w:rPr>
          <w:rFonts w:ascii="Times New Roman" w:hAnsi="Times New Roman"/>
          <w:b/>
          <w:lang w:val="pt-PT"/>
        </w:rPr>
        <w:tab/>
      </w:r>
      <w:r w:rsidRPr="002D2FDF">
        <w:rPr>
          <w:rFonts w:ascii="Times New Roman" w:eastAsia="Times New Roman" w:hAnsi="Times New Roman"/>
          <w:lang w:val="pt-PT"/>
        </w:rPr>
        <w:t>No caso de uma subvenção de funcionamento, o período de execução fixado no artigo I.2.2 não pode ser prolongado através de alterações</w:t>
      </w:r>
      <w:r w:rsidRPr="002D2FDF">
        <w:rPr>
          <w:rFonts w:ascii="Times New Roman" w:hAnsi="Times New Roman"/>
          <w:lang w:val="pt-PT"/>
        </w:rPr>
        <w:t>.</w:t>
      </w:r>
    </w:p>
    <w:p w14:paraId="4FBEA89A" w14:textId="77777777" w:rsidR="007A392C" w:rsidRPr="002D2FDF" w:rsidRDefault="00DF48E8">
      <w:pPr>
        <w:spacing w:line="240" w:lineRule="auto"/>
        <w:ind w:left="851" w:hanging="851"/>
        <w:jc w:val="both"/>
        <w:rPr>
          <w:rFonts w:ascii="Times New Roman" w:hAnsi="Times New Roman"/>
          <w:sz w:val="24"/>
          <w:szCs w:val="24"/>
          <w:lang w:val="pt-PT"/>
        </w:rPr>
      </w:pPr>
      <w:r w:rsidRPr="002D2FDF">
        <w:rPr>
          <w:rFonts w:ascii="Times New Roman" w:hAnsi="Times New Roman"/>
          <w:b/>
          <w:lang w:val="pt-PT"/>
        </w:rPr>
        <w:t>II.13.5</w:t>
      </w:r>
      <w:r w:rsidRPr="002D2FDF">
        <w:rPr>
          <w:rFonts w:ascii="Times New Roman" w:hAnsi="Times New Roman"/>
          <w:b/>
          <w:lang w:val="pt-PT"/>
        </w:rPr>
        <w:tab/>
      </w:r>
      <w:r w:rsidRPr="002D2FDF">
        <w:rPr>
          <w:rFonts w:ascii="Times New Roman" w:hAnsi="Times New Roman"/>
          <w:lang w:val="pt-PT"/>
        </w:rPr>
        <w:t>As alterações entram em vigor na data em que a última parte as assinar ou na data da aprovação do pedido de alteração.</w:t>
      </w:r>
    </w:p>
    <w:p w14:paraId="60570644" w14:textId="77777777" w:rsidR="007A392C" w:rsidRPr="002D2FDF" w:rsidRDefault="00DF48E8">
      <w:pPr>
        <w:spacing w:line="240" w:lineRule="auto"/>
        <w:ind w:left="851"/>
        <w:jc w:val="both"/>
        <w:rPr>
          <w:rFonts w:ascii="Times New Roman" w:hAnsi="Times New Roman"/>
          <w:sz w:val="24"/>
          <w:szCs w:val="24"/>
          <w:lang w:val="pt-PT"/>
        </w:rPr>
      </w:pPr>
      <w:r w:rsidRPr="002D2FDF">
        <w:rPr>
          <w:rFonts w:ascii="Times New Roman" w:hAnsi="Times New Roman"/>
          <w:lang w:val="pt-PT"/>
        </w:rPr>
        <w:t>As alterações produzem efeitos numa data acordada pelas partes ou, na sua ausência, na data em que a alteração entra em vigor.</w:t>
      </w:r>
    </w:p>
    <w:p w14:paraId="0598553E" w14:textId="77777777" w:rsidR="007A392C" w:rsidRPr="002D2FDF" w:rsidRDefault="00DF48E8">
      <w:pPr>
        <w:pStyle w:val="Heading2"/>
        <w:rPr>
          <w:rFonts w:ascii="Times New Roman" w:hAnsi="Times New Roman"/>
          <w:lang w:val="pt-PT"/>
        </w:rPr>
      </w:pPr>
      <w:bookmarkStart w:id="46" w:name="_Toc441250844"/>
      <w:bookmarkStart w:id="47" w:name="_Toc446535887"/>
      <w:r w:rsidRPr="002D2FDF">
        <w:rPr>
          <w:rFonts w:ascii="Times New Roman" w:hAnsi="Times New Roman"/>
          <w:lang w:val="pt-PT"/>
        </w:rPr>
        <w:t>Artigo II.14 — Cessão de créditos para pagamentos a terceiros</w:t>
      </w:r>
      <w:bookmarkEnd w:id="46"/>
      <w:bookmarkEnd w:id="47"/>
    </w:p>
    <w:p w14:paraId="400AECA3" w14:textId="77777777" w:rsidR="007A392C" w:rsidRPr="002D2FDF" w:rsidRDefault="00DF48E8">
      <w:pPr>
        <w:spacing w:line="240" w:lineRule="auto"/>
        <w:ind w:left="851" w:hanging="851"/>
        <w:jc w:val="both"/>
        <w:rPr>
          <w:rFonts w:ascii="Times New Roman" w:hAnsi="Times New Roman"/>
          <w:sz w:val="24"/>
          <w:szCs w:val="24"/>
          <w:lang w:val="pt-PT"/>
        </w:rPr>
      </w:pPr>
      <w:r w:rsidRPr="002D2FDF">
        <w:rPr>
          <w:rFonts w:ascii="Times New Roman" w:hAnsi="Times New Roman"/>
          <w:b/>
          <w:lang w:val="pt-PT"/>
        </w:rPr>
        <w:t>II.14.1</w:t>
      </w:r>
      <w:r w:rsidRPr="002D2FDF">
        <w:rPr>
          <w:rFonts w:ascii="Times New Roman" w:hAnsi="Times New Roman"/>
          <w:lang w:val="pt-PT"/>
        </w:rPr>
        <w:tab/>
        <w:t>O beneficiário não pode ceder a terceiros nenhum dos seus créditos sobre a Comissão, exceto quando autorizado pela Comissão com base num pedido escrito fundamentado do beneficiário.</w:t>
      </w:r>
    </w:p>
    <w:p w14:paraId="7E24FD22" w14:textId="77777777" w:rsidR="007A392C" w:rsidRPr="002D2FDF" w:rsidRDefault="00DF48E8">
      <w:pPr>
        <w:spacing w:line="240" w:lineRule="auto"/>
        <w:ind w:left="851"/>
        <w:jc w:val="both"/>
        <w:rPr>
          <w:rFonts w:ascii="Times New Roman" w:hAnsi="Times New Roman"/>
          <w:sz w:val="24"/>
          <w:szCs w:val="24"/>
          <w:lang w:val="pt-PT"/>
        </w:rPr>
      </w:pPr>
      <w:r w:rsidRPr="002D2FDF">
        <w:rPr>
          <w:rFonts w:ascii="Times New Roman" w:hAnsi="Times New Roman"/>
          <w:lang w:val="pt-PT"/>
        </w:rPr>
        <w:t>Caso a Comissão não tenha aceitado a cessão ou os respetivos termos não tenham sido respeitados, a cessão não produz efeitos em relação à Comissão.</w:t>
      </w:r>
    </w:p>
    <w:p w14:paraId="6C0FEBF9" w14:textId="77777777" w:rsidR="007A392C" w:rsidRPr="002D2FDF" w:rsidRDefault="00DF48E8">
      <w:pPr>
        <w:spacing w:line="240" w:lineRule="auto"/>
        <w:ind w:left="851" w:hanging="851"/>
        <w:jc w:val="both"/>
        <w:rPr>
          <w:rFonts w:ascii="Times New Roman" w:hAnsi="Times New Roman"/>
          <w:sz w:val="24"/>
          <w:szCs w:val="24"/>
          <w:lang w:val="pt-PT"/>
        </w:rPr>
      </w:pPr>
      <w:r w:rsidRPr="002D2FDF">
        <w:rPr>
          <w:rFonts w:ascii="Times New Roman" w:hAnsi="Times New Roman"/>
          <w:b/>
          <w:lang w:val="pt-PT"/>
        </w:rPr>
        <w:t>II.14.2</w:t>
      </w:r>
      <w:r w:rsidRPr="002D2FDF">
        <w:rPr>
          <w:rFonts w:ascii="Times New Roman" w:hAnsi="Times New Roman"/>
          <w:lang w:val="pt-PT"/>
        </w:rPr>
        <w:tab/>
        <w:t>Uma tal cessão não pode, em caso algum, dispensar o beneficiário das suas obrigações perante a Comissão.</w:t>
      </w:r>
    </w:p>
    <w:p w14:paraId="39DC9B94" w14:textId="5A2E2427" w:rsidR="007A392C" w:rsidRPr="002D2FDF" w:rsidRDefault="00DF48E8">
      <w:pPr>
        <w:pStyle w:val="Heading2"/>
        <w:rPr>
          <w:rFonts w:ascii="Times New Roman" w:hAnsi="Times New Roman"/>
          <w:lang w:val="pt-PT"/>
        </w:rPr>
      </w:pPr>
      <w:bookmarkStart w:id="48" w:name="_Toc441250845"/>
      <w:bookmarkStart w:id="49" w:name="_Toc446535888"/>
      <w:r w:rsidRPr="002D2FDF">
        <w:rPr>
          <w:rFonts w:ascii="Times New Roman" w:hAnsi="Times New Roman"/>
          <w:lang w:val="pt-PT"/>
        </w:rPr>
        <w:t>Artigo II.15 — Força maior</w:t>
      </w:r>
      <w:bookmarkEnd w:id="48"/>
      <w:bookmarkEnd w:id="49"/>
    </w:p>
    <w:p w14:paraId="5F495ACD" w14:textId="77777777" w:rsidR="007A392C" w:rsidRPr="002D2FDF" w:rsidRDefault="00DF48E8">
      <w:pPr>
        <w:spacing w:line="240" w:lineRule="auto"/>
        <w:ind w:left="851" w:hanging="851"/>
        <w:jc w:val="both"/>
        <w:rPr>
          <w:rFonts w:ascii="Times New Roman" w:hAnsi="Times New Roman"/>
          <w:sz w:val="24"/>
          <w:szCs w:val="24"/>
          <w:lang w:val="pt-PT"/>
        </w:rPr>
      </w:pPr>
      <w:r w:rsidRPr="002D2FDF">
        <w:rPr>
          <w:rFonts w:ascii="Times New Roman" w:hAnsi="Times New Roman"/>
          <w:b/>
          <w:lang w:val="pt-PT"/>
        </w:rPr>
        <w:t>II.15.1</w:t>
      </w:r>
      <w:r w:rsidRPr="002D2FDF">
        <w:rPr>
          <w:rFonts w:ascii="Times New Roman" w:hAnsi="Times New Roman"/>
          <w:lang w:val="pt-PT"/>
        </w:rPr>
        <w:tab/>
        <w:t xml:space="preserve">Se uma das partes for confrontada com um caso de força maior, deve enviar sem demora uma </w:t>
      </w:r>
      <w:r w:rsidRPr="002D2FDF">
        <w:rPr>
          <w:rFonts w:ascii="Times New Roman" w:hAnsi="Times New Roman"/>
          <w:i/>
          <w:lang w:val="pt-PT"/>
        </w:rPr>
        <w:t>notificação formal</w:t>
      </w:r>
      <w:r w:rsidRPr="002D2FDF">
        <w:rPr>
          <w:rFonts w:ascii="Times New Roman" w:hAnsi="Times New Roman"/>
          <w:lang w:val="pt-PT"/>
        </w:rPr>
        <w:t xml:space="preserve"> à outra parte, declarando a natureza da situação ou do evento, bem como a sua duração provável e efeitos previsíveis.</w:t>
      </w:r>
    </w:p>
    <w:p w14:paraId="1C2D42BE" w14:textId="77777777" w:rsidR="007A392C" w:rsidRPr="002D2FDF" w:rsidRDefault="00DF48E8">
      <w:pPr>
        <w:spacing w:line="240" w:lineRule="auto"/>
        <w:ind w:left="851" w:hanging="851"/>
        <w:jc w:val="both"/>
        <w:rPr>
          <w:rFonts w:ascii="Times New Roman" w:hAnsi="Times New Roman"/>
          <w:sz w:val="24"/>
          <w:szCs w:val="24"/>
          <w:lang w:val="pt-PT"/>
        </w:rPr>
      </w:pPr>
      <w:r w:rsidRPr="002D2FDF">
        <w:rPr>
          <w:rFonts w:ascii="Times New Roman" w:hAnsi="Times New Roman"/>
          <w:b/>
          <w:lang w:val="pt-PT"/>
        </w:rPr>
        <w:t>II.15.2</w:t>
      </w:r>
      <w:r w:rsidRPr="002D2FDF">
        <w:rPr>
          <w:rFonts w:ascii="Times New Roman" w:hAnsi="Times New Roman"/>
          <w:lang w:val="pt-PT"/>
        </w:rPr>
        <w:tab/>
        <w:t xml:space="preserve">As partes devem tomar todas as medidas necessárias para minimizar os eventuais danos resultantes de um caso de força maior. Devem envidar todos os esforços para retomar a execução da </w:t>
      </w:r>
      <w:r w:rsidRPr="002D2FDF">
        <w:rPr>
          <w:rFonts w:ascii="Times New Roman" w:hAnsi="Times New Roman"/>
          <w:i/>
          <w:lang w:val="pt-PT"/>
        </w:rPr>
        <w:t>ação</w:t>
      </w:r>
      <w:r w:rsidRPr="002D2FDF">
        <w:rPr>
          <w:rFonts w:ascii="Times New Roman" w:hAnsi="Times New Roman"/>
          <w:lang w:val="pt-PT"/>
        </w:rPr>
        <w:t xml:space="preserve"> logo que possível.</w:t>
      </w:r>
    </w:p>
    <w:p w14:paraId="0F662574" w14:textId="77777777" w:rsidR="007A392C" w:rsidRPr="002D2FDF" w:rsidRDefault="00DF48E8">
      <w:pPr>
        <w:spacing w:line="240" w:lineRule="auto"/>
        <w:ind w:left="851" w:hanging="851"/>
        <w:jc w:val="both"/>
        <w:rPr>
          <w:rFonts w:ascii="Times New Roman" w:hAnsi="Times New Roman"/>
          <w:sz w:val="24"/>
          <w:szCs w:val="24"/>
          <w:lang w:val="pt-PT"/>
        </w:rPr>
      </w:pPr>
      <w:r w:rsidRPr="002D2FDF">
        <w:rPr>
          <w:rFonts w:ascii="Times New Roman" w:hAnsi="Times New Roman"/>
          <w:b/>
          <w:lang w:val="pt-PT"/>
        </w:rPr>
        <w:t>II.15.3</w:t>
      </w:r>
      <w:r w:rsidRPr="002D2FDF">
        <w:rPr>
          <w:rFonts w:ascii="Times New Roman" w:hAnsi="Times New Roman"/>
          <w:lang w:val="pt-PT"/>
        </w:rPr>
        <w:tab/>
        <w:t>A parte confrontada com a situação ou o acontecimento de força maior não pode ser considerada em falta às suas obrigações decorrentes da convenção, se tal situação ou acontecimento a tiver impedido de as cumprir.</w:t>
      </w:r>
    </w:p>
    <w:p w14:paraId="5CB78FFB" w14:textId="77777777" w:rsidR="007A392C" w:rsidRPr="002D2FDF" w:rsidRDefault="00DF48E8">
      <w:pPr>
        <w:pStyle w:val="Heading2"/>
        <w:rPr>
          <w:rFonts w:ascii="Times New Roman" w:hAnsi="Times New Roman"/>
          <w:lang w:val="pt-PT"/>
        </w:rPr>
      </w:pPr>
      <w:bookmarkStart w:id="50" w:name="_Toc441250846"/>
      <w:bookmarkStart w:id="51" w:name="_Toc446535889"/>
      <w:r w:rsidRPr="002D2FDF">
        <w:rPr>
          <w:rFonts w:ascii="Times New Roman" w:hAnsi="Times New Roman"/>
          <w:lang w:val="pt-PT"/>
        </w:rPr>
        <w:t>Artigo II.16 — Suspensão da execução da ação</w:t>
      </w:r>
      <w:bookmarkEnd w:id="50"/>
      <w:bookmarkEnd w:id="51"/>
    </w:p>
    <w:p w14:paraId="091B7CE9" w14:textId="585DF6AC" w:rsidR="007A392C" w:rsidRPr="002D2FDF" w:rsidRDefault="00DF48E8">
      <w:pPr>
        <w:pStyle w:val="Heading3"/>
        <w:jc w:val="both"/>
        <w:rPr>
          <w:rFonts w:ascii="Times New Roman" w:hAnsi="Times New Roman"/>
          <w:lang w:val="pt-PT"/>
        </w:rPr>
      </w:pPr>
      <w:bookmarkStart w:id="52" w:name="_Toc441250847"/>
      <w:bookmarkStart w:id="53" w:name="_Toc446535890"/>
      <w:r w:rsidRPr="002D2FDF">
        <w:rPr>
          <w:rFonts w:ascii="Times New Roman" w:hAnsi="Times New Roman"/>
          <w:lang w:val="pt-PT"/>
        </w:rPr>
        <w:t>II.16.1</w:t>
      </w:r>
      <w:r w:rsidRPr="002D2FDF">
        <w:rPr>
          <w:rFonts w:ascii="Times New Roman" w:hAnsi="Times New Roman"/>
          <w:lang w:val="pt-PT"/>
        </w:rPr>
        <w:tab/>
        <w:t xml:space="preserve">Suspensão da execução pelo </w:t>
      </w:r>
      <w:bookmarkEnd w:id="52"/>
      <w:r w:rsidRPr="002D2FDF">
        <w:rPr>
          <w:rFonts w:ascii="Times New Roman" w:hAnsi="Times New Roman"/>
          <w:lang w:val="pt-PT"/>
        </w:rPr>
        <w:t>beneficiário</w:t>
      </w:r>
      <w:bookmarkEnd w:id="53"/>
    </w:p>
    <w:p w14:paraId="7E939942"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O beneficiário pode suspender a execução da </w:t>
      </w:r>
      <w:r w:rsidRPr="002D2FDF">
        <w:rPr>
          <w:rFonts w:ascii="Times New Roman" w:hAnsi="Times New Roman"/>
          <w:i/>
          <w:lang w:val="pt-PT"/>
        </w:rPr>
        <w:t>ação</w:t>
      </w:r>
      <w:r w:rsidRPr="002D2FDF">
        <w:rPr>
          <w:rFonts w:ascii="Times New Roman" w:hAnsi="Times New Roman"/>
          <w:lang w:val="pt-PT"/>
        </w:rPr>
        <w:t>, ou de parte da mesma, quando circunstâncias excecionais, nomeadamente de força maior, tornarem a referida execução impossível ou demasiado difícil.</w:t>
      </w:r>
    </w:p>
    <w:p w14:paraId="7F6B7607" w14:textId="77777777" w:rsidR="007A392C" w:rsidRPr="002D2FDF" w:rsidRDefault="00DF48E8">
      <w:pPr>
        <w:spacing w:after="120" w:line="240" w:lineRule="auto"/>
        <w:jc w:val="both"/>
        <w:rPr>
          <w:rFonts w:ascii="Times New Roman" w:hAnsi="Times New Roman"/>
          <w:sz w:val="24"/>
          <w:szCs w:val="24"/>
          <w:lang w:val="pt-PT"/>
        </w:rPr>
      </w:pPr>
      <w:r w:rsidRPr="002D2FDF">
        <w:rPr>
          <w:rFonts w:ascii="Times New Roman" w:hAnsi="Times New Roman"/>
          <w:lang w:val="pt-PT"/>
        </w:rPr>
        <w:t>O beneficiário deve informar imediatamente a Comissão, indicando:</w:t>
      </w:r>
    </w:p>
    <w:p w14:paraId="589BF0E3" w14:textId="77777777" w:rsidR="007A392C" w:rsidRPr="002D2FDF" w:rsidRDefault="00DF48E8">
      <w:pPr>
        <w:numPr>
          <w:ilvl w:val="0"/>
          <w:numId w:val="28"/>
        </w:numPr>
        <w:spacing w:before="120" w:after="120" w:line="240" w:lineRule="auto"/>
        <w:jc w:val="both"/>
        <w:rPr>
          <w:rFonts w:ascii="Times New Roman" w:hAnsi="Times New Roman"/>
          <w:sz w:val="24"/>
          <w:szCs w:val="24"/>
          <w:lang w:val="pt-PT"/>
        </w:rPr>
      </w:pPr>
      <w:r w:rsidRPr="002D2FDF">
        <w:rPr>
          <w:rFonts w:ascii="Times New Roman" w:hAnsi="Times New Roman"/>
          <w:lang w:val="pt-PT"/>
        </w:rPr>
        <w:t>Os motivos da suspensão, incluindo informações sobre a data ou o período em que ocorreram as circunstâncias excecionais; e</w:t>
      </w:r>
    </w:p>
    <w:p w14:paraId="71752887" w14:textId="77777777" w:rsidR="007A392C" w:rsidRPr="002D2FDF" w:rsidRDefault="00DF48E8">
      <w:pPr>
        <w:numPr>
          <w:ilvl w:val="0"/>
          <w:numId w:val="28"/>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A data previsível de retoma da execução.</w:t>
      </w:r>
    </w:p>
    <w:p w14:paraId="36A0AABF"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Quando as circunstâncias permitam ao beneficiário retomar a execução da </w:t>
      </w:r>
      <w:r w:rsidRPr="002D2FDF">
        <w:rPr>
          <w:rFonts w:ascii="Times New Roman" w:hAnsi="Times New Roman"/>
          <w:i/>
          <w:lang w:val="pt-PT"/>
        </w:rPr>
        <w:t>ação</w:t>
      </w:r>
      <w:r w:rsidRPr="002D2FDF">
        <w:rPr>
          <w:rFonts w:ascii="Times New Roman" w:hAnsi="Times New Roman"/>
          <w:lang w:val="pt-PT"/>
        </w:rPr>
        <w:t xml:space="preserve">, este deve informar imediatamente a Comissão e apresentar um pedido de alteração da convenção como previsto no artigo II.16.3. Esta obrigação não é aplicável em caso de resolução da convenção nos termos dos artigos II.17.1 ou das alíneas b) ou c) do artigo II.17.2.1.  </w:t>
      </w:r>
    </w:p>
    <w:p w14:paraId="4CC323D9" w14:textId="77777777" w:rsidR="007A392C" w:rsidRPr="002D2FDF" w:rsidRDefault="00DF48E8">
      <w:pPr>
        <w:pStyle w:val="Heading3"/>
        <w:jc w:val="both"/>
        <w:rPr>
          <w:rFonts w:ascii="Times New Roman" w:hAnsi="Times New Roman"/>
          <w:lang w:val="pt-PT"/>
        </w:rPr>
      </w:pPr>
      <w:bookmarkStart w:id="54" w:name="_Toc441250848"/>
      <w:bookmarkStart w:id="55" w:name="_Toc446535891"/>
      <w:r w:rsidRPr="002D2FDF">
        <w:rPr>
          <w:rFonts w:ascii="Times New Roman" w:hAnsi="Times New Roman"/>
          <w:lang w:val="pt-PT"/>
        </w:rPr>
        <w:t>II.16.2</w:t>
      </w:r>
      <w:r w:rsidRPr="002D2FDF">
        <w:rPr>
          <w:rFonts w:ascii="Times New Roman" w:hAnsi="Times New Roman"/>
          <w:lang w:val="pt-PT"/>
        </w:rPr>
        <w:tab/>
        <w:t>Suspensão da execução pela Comissão</w:t>
      </w:r>
      <w:bookmarkEnd w:id="54"/>
      <w:bookmarkEnd w:id="55"/>
    </w:p>
    <w:p w14:paraId="75431A17" w14:textId="77777777" w:rsidR="007A392C" w:rsidRPr="002D2FDF" w:rsidRDefault="00DF48E8">
      <w:pPr>
        <w:pStyle w:val="Heading4"/>
        <w:rPr>
          <w:lang w:val="pt-PT"/>
        </w:rPr>
      </w:pPr>
      <w:r w:rsidRPr="002D2FDF">
        <w:rPr>
          <w:lang w:val="pt-PT"/>
        </w:rPr>
        <w:t>II.16.2.1 Motivos da suspensão</w:t>
      </w:r>
    </w:p>
    <w:p w14:paraId="2A4CD187" w14:textId="77777777" w:rsidR="007A392C" w:rsidRPr="002D2FDF" w:rsidRDefault="00DF48E8">
      <w:pPr>
        <w:tabs>
          <w:tab w:val="left" w:pos="1134"/>
        </w:tabs>
        <w:spacing w:after="0" w:line="240" w:lineRule="auto"/>
        <w:ind w:left="1134" w:hanging="1134"/>
        <w:jc w:val="both"/>
        <w:rPr>
          <w:rFonts w:ascii="Times New Roman" w:hAnsi="Times New Roman"/>
          <w:sz w:val="24"/>
          <w:szCs w:val="24"/>
          <w:lang w:val="pt-PT"/>
        </w:rPr>
      </w:pPr>
      <w:r w:rsidRPr="002D2FDF">
        <w:rPr>
          <w:rFonts w:ascii="Times New Roman" w:hAnsi="Times New Roman"/>
          <w:lang w:val="pt-PT"/>
        </w:rPr>
        <w:t xml:space="preserve">A Comissão pode suspender a execução da </w:t>
      </w:r>
      <w:r w:rsidRPr="002D2FDF">
        <w:rPr>
          <w:rFonts w:ascii="Times New Roman" w:hAnsi="Times New Roman"/>
          <w:i/>
          <w:lang w:val="pt-PT"/>
        </w:rPr>
        <w:t>ação</w:t>
      </w:r>
      <w:r w:rsidRPr="002D2FDF">
        <w:rPr>
          <w:rFonts w:ascii="Times New Roman" w:hAnsi="Times New Roman"/>
          <w:lang w:val="pt-PT"/>
        </w:rPr>
        <w:t xml:space="preserve"> no todo ou em parte:</w:t>
      </w:r>
    </w:p>
    <w:p w14:paraId="600EF48B" w14:textId="425C607C" w:rsidR="007A392C" w:rsidRPr="002D2FDF" w:rsidRDefault="00DF48E8">
      <w:pPr>
        <w:numPr>
          <w:ilvl w:val="0"/>
          <w:numId w:val="29"/>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Se tiver provas de que o beneficiário cometeu </w:t>
      </w:r>
      <w:r w:rsidRPr="002D2FDF">
        <w:rPr>
          <w:rFonts w:ascii="Times New Roman" w:hAnsi="Times New Roman"/>
          <w:i/>
          <w:lang w:val="pt-PT"/>
        </w:rPr>
        <w:t>irregularidades</w:t>
      </w:r>
      <w:r w:rsidRPr="002D2FDF">
        <w:rPr>
          <w:rFonts w:ascii="Times New Roman" w:hAnsi="Times New Roman"/>
          <w:lang w:val="pt-PT"/>
        </w:rPr>
        <w:t xml:space="preserve"> ou </w:t>
      </w:r>
      <w:r w:rsidRPr="002D2FDF">
        <w:rPr>
          <w:rFonts w:ascii="Times New Roman" w:hAnsi="Times New Roman"/>
          <w:i/>
          <w:lang w:val="pt-PT"/>
        </w:rPr>
        <w:t>fraudes</w:t>
      </w:r>
      <w:r w:rsidRPr="002D2FDF">
        <w:rPr>
          <w:rFonts w:ascii="Times New Roman" w:hAnsi="Times New Roman"/>
          <w:lang w:val="pt-PT"/>
        </w:rPr>
        <w:t xml:space="preserve"> </w:t>
      </w:r>
      <w:r w:rsidRPr="002D2FDF">
        <w:rPr>
          <w:lang w:val="pt-PT"/>
        </w:rPr>
        <w:t xml:space="preserve">ou </w:t>
      </w:r>
      <w:r w:rsidRPr="002D2FDF">
        <w:rPr>
          <w:rFonts w:ascii="Times New Roman" w:hAnsi="Times New Roman"/>
          <w:i/>
          <w:lang w:val="pt-PT"/>
        </w:rPr>
        <w:t>incumpriu as suas obrigações</w:t>
      </w:r>
      <w:r w:rsidRPr="002D2FDF">
        <w:rPr>
          <w:rFonts w:ascii="Times New Roman" w:hAnsi="Times New Roman"/>
          <w:lang w:val="pt-PT"/>
        </w:rPr>
        <w:t xml:space="preserve"> no âmbito do processo de atribuição ou na execução da convenção;</w:t>
      </w:r>
    </w:p>
    <w:p w14:paraId="38C863CB" w14:textId="6CEE5866" w:rsidR="007A392C" w:rsidRPr="002D2FDF" w:rsidRDefault="00DF48E8">
      <w:pPr>
        <w:numPr>
          <w:ilvl w:val="0"/>
          <w:numId w:val="29"/>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Se tiver provas de que o beneficiário cometeu, de forma sistemática ou recorrente, erros, </w:t>
      </w:r>
      <w:r w:rsidRPr="002D2FDF">
        <w:rPr>
          <w:rFonts w:ascii="Times New Roman" w:hAnsi="Times New Roman"/>
          <w:i/>
          <w:lang w:val="pt-PT"/>
        </w:rPr>
        <w:t>irregularidades, fraudes</w:t>
      </w:r>
      <w:r w:rsidRPr="002D2FDF">
        <w:rPr>
          <w:rFonts w:ascii="Times New Roman" w:hAnsi="Times New Roman"/>
          <w:lang w:val="pt-PT"/>
        </w:rPr>
        <w:t xml:space="preserve"> ou </w:t>
      </w:r>
      <w:r w:rsidRPr="002D2FDF">
        <w:rPr>
          <w:rFonts w:ascii="Times New Roman" w:hAnsi="Times New Roman"/>
          <w:i/>
          <w:lang w:val="pt-PT"/>
        </w:rPr>
        <w:t>incumprimentos graves de obrigações</w:t>
      </w:r>
      <w:r w:rsidRPr="002D2FDF">
        <w:rPr>
          <w:rFonts w:ascii="Times New Roman" w:hAnsi="Times New Roman"/>
          <w:lang w:val="pt-PT"/>
        </w:rPr>
        <w:t xml:space="preserve"> no âmbito de outras subvenções financiadas pela União ou pela Comunidade Europeia da Energia Atómica («Euratom») concedidas em condições semelhantes e de que esses erros, </w:t>
      </w:r>
      <w:r w:rsidRPr="002D2FDF">
        <w:rPr>
          <w:rFonts w:ascii="Times New Roman" w:hAnsi="Times New Roman"/>
          <w:i/>
          <w:lang w:val="pt-PT"/>
        </w:rPr>
        <w:t>irregularidades, fraudes</w:t>
      </w:r>
      <w:r w:rsidRPr="002D2FDF">
        <w:rPr>
          <w:rFonts w:ascii="Times New Roman" w:hAnsi="Times New Roman"/>
          <w:lang w:val="pt-PT"/>
        </w:rPr>
        <w:t xml:space="preserve"> ou </w:t>
      </w:r>
      <w:r w:rsidRPr="002D2FDF">
        <w:rPr>
          <w:rFonts w:ascii="Times New Roman" w:hAnsi="Times New Roman"/>
          <w:i/>
          <w:lang w:val="pt-PT"/>
        </w:rPr>
        <w:t>incumprimentos de obrigações</w:t>
      </w:r>
      <w:r w:rsidRPr="002D2FDF">
        <w:rPr>
          <w:rFonts w:ascii="Times New Roman" w:hAnsi="Times New Roman"/>
          <w:lang w:val="pt-PT"/>
        </w:rPr>
        <w:t xml:space="preserve"> têm um impacto significativo na presente subvenção; ou</w:t>
      </w:r>
    </w:p>
    <w:p w14:paraId="7AA940C7" w14:textId="77777777" w:rsidR="007A392C" w:rsidRPr="002D2FDF" w:rsidRDefault="00DF48E8">
      <w:pPr>
        <w:numPr>
          <w:ilvl w:val="0"/>
          <w:numId w:val="29"/>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Se suspeitar que o beneficiário cometeu </w:t>
      </w:r>
      <w:r w:rsidRPr="002D2FDF">
        <w:rPr>
          <w:rFonts w:ascii="Times New Roman" w:hAnsi="Times New Roman"/>
          <w:i/>
          <w:lang w:val="pt-PT"/>
        </w:rPr>
        <w:t>erros, irregularidades, fraudes</w:t>
      </w:r>
      <w:r w:rsidRPr="002D2FDF">
        <w:rPr>
          <w:rFonts w:ascii="Times New Roman" w:hAnsi="Times New Roman"/>
          <w:lang w:val="pt-PT"/>
        </w:rPr>
        <w:t xml:space="preserve"> ou </w:t>
      </w:r>
      <w:r w:rsidRPr="002D2FDF">
        <w:rPr>
          <w:rFonts w:ascii="Times New Roman" w:hAnsi="Times New Roman"/>
          <w:i/>
          <w:lang w:val="pt-PT"/>
        </w:rPr>
        <w:t>incumprimentos de obrigações</w:t>
      </w:r>
      <w:r w:rsidRPr="002D2FDF">
        <w:rPr>
          <w:rFonts w:ascii="Times New Roman" w:hAnsi="Times New Roman"/>
          <w:lang w:val="pt-PT"/>
        </w:rPr>
        <w:t xml:space="preserve"> substanciais, no contexto do procedimento de atribuição ou da execução da convenção, e precisar de verificar se ocorreram efetivamente.</w:t>
      </w:r>
    </w:p>
    <w:p w14:paraId="4A2710EC" w14:textId="77777777" w:rsidR="007A392C" w:rsidRPr="002D2FDF" w:rsidRDefault="00DF48E8">
      <w:pPr>
        <w:pStyle w:val="Heading4"/>
        <w:spacing w:after="240"/>
        <w:rPr>
          <w:lang w:val="pt-PT"/>
        </w:rPr>
      </w:pPr>
      <w:r w:rsidRPr="002D2FDF">
        <w:rPr>
          <w:lang w:val="pt-PT"/>
        </w:rPr>
        <w:t>II.16.2.2 Procedimento de suspensão</w:t>
      </w:r>
    </w:p>
    <w:p w14:paraId="57C106AC"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b/>
          <w:lang w:val="pt-PT"/>
        </w:rPr>
        <w:t>Passo 1</w:t>
      </w:r>
      <w:r w:rsidRPr="002D2FDF">
        <w:rPr>
          <w:rFonts w:ascii="Times New Roman" w:hAnsi="Times New Roman"/>
          <w:lang w:val="pt-PT"/>
        </w:rPr>
        <w:t xml:space="preserve"> — Antes de suspender a execução da </w:t>
      </w:r>
      <w:r w:rsidRPr="002D2FDF">
        <w:rPr>
          <w:rFonts w:ascii="Times New Roman" w:hAnsi="Times New Roman"/>
          <w:i/>
          <w:lang w:val="pt-PT"/>
        </w:rPr>
        <w:t>ação</w:t>
      </w:r>
      <w:r w:rsidRPr="002D2FDF">
        <w:rPr>
          <w:rFonts w:ascii="Times New Roman" w:hAnsi="Times New Roman"/>
          <w:lang w:val="pt-PT"/>
        </w:rPr>
        <w:t xml:space="preserve">, a Comissão deve enviar uma </w:t>
      </w:r>
      <w:r w:rsidRPr="002D2FDF">
        <w:rPr>
          <w:rFonts w:ascii="Times New Roman" w:hAnsi="Times New Roman"/>
          <w:i/>
          <w:lang w:val="pt-PT"/>
        </w:rPr>
        <w:t>notificação formal</w:t>
      </w:r>
      <w:r w:rsidRPr="002D2FDF">
        <w:rPr>
          <w:rFonts w:ascii="Times New Roman" w:hAnsi="Times New Roman"/>
          <w:lang w:val="pt-PT"/>
        </w:rPr>
        <w:t xml:space="preserve"> ao beneficiário:</w:t>
      </w:r>
    </w:p>
    <w:p w14:paraId="2329E5A1" w14:textId="77777777" w:rsidR="007A392C" w:rsidRDefault="00DF48E8">
      <w:pPr>
        <w:numPr>
          <w:ilvl w:val="0"/>
          <w:numId w:val="30"/>
        </w:numPr>
        <w:spacing w:before="100" w:beforeAutospacing="1" w:after="100" w:afterAutospacing="1" w:line="240" w:lineRule="auto"/>
        <w:jc w:val="both"/>
        <w:rPr>
          <w:rFonts w:ascii="Times New Roman" w:hAnsi="Times New Roman"/>
          <w:sz w:val="24"/>
          <w:szCs w:val="24"/>
        </w:rPr>
      </w:pPr>
      <w:r>
        <w:rPr>
          <w:rFonts w:ascii="Times New Roman" w:hAnsi="Times New Roman"/>
        </w:rPr>
        <w:t>Informando-o:</w:t>
      </w:r>
    </w:p>
    <w:p w14:paraId="195B0F9B" w14:textId="77777777" w:rsidR="007A392C" w:rsidRPr="002D2FDF" w:rsidRDefault="00DF48E8">
      <w:pPr>
        <w:numPr>
          <w:ilvl w:val="0"/>
          <w:numId w:val="31"/>
        </w:numPr>
        <w:spacing w:before="100" w:beforeAutospacing="1" w:after="100" w:afterAutospacing="1" w:line="240" w:lineRule="auto"/>
        <w:ind w:left="1134" w:hanging="425"/>
        <w:jc w:val="both"/>
        <w:rPr>
          <w:rFonts w:ascii="Times New Roman" w:hAnsi="Times New Roman"/>
          <w:sz w:val="24"/>
          <w:szCs w:val="24"/>
          <w:lang w:val="pt-PT"/>
        </w:rPr>
      </w:pPr>
      <w:r w:rsidRPr="002D2FDF">
        <w:rPr>
          <w:rFonts w:ascii="Times New Roman" w:hAnsi="Times New Roman"/>
          <w:lang w:val="pt-PT"/>
        </w:rPr>
        <w:t>da sua intenção de suspender a execução;</w:t>
      </w:r>
    </w:p>
    <w:p w14:paraId="55727709" w14:textId="5DD9FFCA" w:rsidR="007A392C" w:rsidRDefault="002D2FDF">
      <w:pPr>
        <w:numPr>
          <w:ilvl w:val="0"/>
          <w:numId w:val="31"/>
        </w:numPr>
        <w:spacing w:before="100" w:beforeAutospacing="1" w:after="100" w:afterAutospacing="1" w:line="240" w:lineRule="auto"/>
        <w:ind w:left="1134" w:hanging="425"/>
        <w:jc w:val="both"/>
        <w:rPr>
          <w:rFonts w:ascii="Times New Roman" w:hAnsi="Times New Roman"/>
          <w:sz w:val="24"/>
          <w:szCs w:val="24"/>
        </w:rPr>
      </w:pPr>
      <w:r>
        <w:rPr>
          <w:rFonts w:ascii="Times New Roman" w:hAnsi="Times New Roman"/>
        </w:rPr>
        <w:t>d</w:t>
      </w:r>
      <w:r w:rsidR="00DF48E8">
        <w:rPr>
          <w:rFonts w:ascii="Times New Roman" w:hAnsi="Times New Roman"/>
        </w:rPr>
        <w:t>os motivos da suspensão;</w:t>
      </w:r>
    </w:p>
    <w:p w14:paraId="234D8A49" w14:textId="77777777" w:rsidR="007A392C" w:rsidRPr="002D2FDF" w:rsidRDefault="00DF48E8">
      <w:pPr>
        <w:numPr>
          <w:ilvl w:val="0"/>
          <w:numId w:val="31"/>
        </w:numPr>
        <w:spacing w:before="100" w:beforeAutospacing="1" w:after="100" w:afterAutospacing="1" w:line="240" w:lineRule="auto"/>
        <w:ind w:left="1134" w:hanging="425"/>
        <w:jc w:val="both"/>
        <w:rPr>
          <w:rFonts w:ascii="Times New Roman" w:hAnsi="Times New Roman"/>
          <w:sz w:val="24"/>
          <w:szCs w:val="24"/>
          <w:lang w:val="pt-PT"/>
        </w:rPr>
      </w:pPr>
      <w:r w:rsidRPr="002D2FDF">
        <w:rPr>
          <w:rFonts w:ascii="Times New Roman" w:hAnsi="Times New Roman"/>
          <w:lang w:val="pt-PT"/>
        </w:rPr>
        <w:t>das condições necessárias para recomeçar a execução nos casos referidos no artigo II.16.2.1, alíneas a) e b); e</w:t>
      </w:r>
    </w:p>
    <w:p w14:paraId="70BEC937" w14:textId="77777777" w:rsidR="007A392C" w:rsidRPr="002D2FDF" w:rsidRDefault="00DF48E8">
      <w:pPr>
        <w:numPr>
          <w:ilvl w:val="0"/>
          <w:numId w:val="30"/>
        </w:numPr>
        <w:spacing w:before="100" w:beforeAutospacing="1" w:after="24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Convidando-o a apresentar as suas observações no prazo de 30 dias de calendário a contar da receção da </w:t>
      </w:r>
      <w:r w:rsidRPr="002D2FDF">
        <w:rPr>
          <w:rFonts w:ascii="Times New Roman" w:hAnsi="Times New Roman"/>
          <w:i/>
          <w:lang w:val="pt-PT"/>
        </w:rPr>
        <w:t>notificação formal.</w:t>
      </w:r>
    </w:p>
    <w:p w14:paraId="623A33BF"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b/>
          <w:lang w:val="pt-PT"/>
        </w:rPr>
        <w:t>Passo 2</w:t>
      </w:r>
      <w:r w:rsidRPr="002D2FDF">
        <w:rPr>
          <w:rFonts w:ascii="Times New Roman" w:hAnsi="Times New Roman"/>
          <w:lang w:val="pt-PT"/>
        </w:rPr>
        <w:t xml:space="preserve"> — Se a Comissão não receber observações ou decidir aplicar o procedimento apesar das observações recebidas, deve enviar ao beneficiário uma </w:t>
      </w:r>
      <w:r w:rsidRPr="002D2FDF">
        <w:rPr>
          <w:rFonts w:ascii="Times New Roman" w:hAnsi="Times New Roman"/>
          <w:i/>
          <w:lang w:val="pt-PT"/>
        </w:rPr>
        <w:t>notificação formal</w:t>
      </w:r>
      <w:r w:rsidRPr="002D2FDF">
        <w:rPr>
          <w:rFonts w:ascii="Times New Roman" w:hAnsi="Times New Roman"/>
          <w:lang w:val="pt-PT"/>
        </w:rPr>
        <w:t xml:space="preserve"> informando-o:</w:t>
      </w:r>
    </w:p>
    <w:p w14:paraId="6DE00E76" w14:textId="77777777" w:rsidR="007A392C" w:rsidRDefault="00DF48E8">
      <w:pPr>
        <w:numPr>
          <w:ilvl w:val="0"/>
          <w:numId w:val="32"/>
        </w:numPr>
        <w:spacing w:before="120" w:after="120" w:line="240" w:lineRule="auto"/>
        <w:jc w:val="both"/>
        <w:rPr>
          <w:rFonts w:ascii="Times New Roman" w:hAnsi="Times New Roman"/>
          <w:sz w:val="24"/>
          <w:szCs w:val="24"/>
        </w:rPr>
      </w:pPr>
      <w:r>
        <w:rPr>
          <w:rFonts w:ascii="Times New Roman" w:hAnsi="Times New Roman"/>
        </w:rPr>
        <w:t>Da suspensão da execução;</w:t>
      </w:r>
    </w:p>
    <w:p w14:paraId="4797AA2C" w14:textId="77777777" w:rsidR="007A392C" w:rsidRDefault="00DF48E8">
      <w:pPr>
        <w:numPr>
          <w:ilvl w:val="0"/>
          <w:numId w:val="32"/>
        </w:numPr>
        <w:spacing w:before="120" w:after="120" w:line="240" w:lineRule="auto"/>
        <w:jc w:val="both"/>
        <w:rPr>
          <w:rFonts w:ascii="Times New Roman" w:hAnsi="Times New Roman"/>
          <w:sz w:val="24"/>
          <w:szCs w:val="24"/>
        </w:rPr>
      </w:pPr>
      <w:r>
        <w:rPr>
          <w:rFonts w:ascii="Times New Roman" w:hAnsi="Times New Roman"/>
        </w:rPr>
        <w:t>Dos motivos da suspensão; e</w:t>
      </w:r>
    </w:p>
    <w:p w14:paraId="206823A4" w14:textId="77777777" w:rsidR="007A392C" w:rsidRPr="002D2FDF" w:rsidRDefault="00DF48E8">
      <w:pPr>
        <w:numPr>
          <w:ilvl w:val="0"/>
          <w:numId w:val="32"/>
        </w:numPr>
        <w:spacing w:before="120" w:after="120" w:line="240" w:lineRule="auto"/>
        <w:jc w:val="both"/>
        <w:rPr>
          <w:rFonts w:ascii="Times New Roman" w:hAnsi="Times New Roman"/>
          <w:sz w:val="24"/>
          <w:szCs w:val="24"/>
          <w:lang w:val="pt-PT"/>
        </w:rPr>
      </w:pPr>
      <w:r w:rsidRPr="002D2FDF">
        <w:rPr>
          <w:rFonts w:ascii="Times New Roman" w:hAnsi="Times New Roman"/>
          <w:lang w:val="pt-PT"/>
        </w:rPr>
        <w:t>Das condições finais para retomar a execução nos casos referidos no artigo II.16.2.1, alíneas a) e b); ou</w:t>
      </w:r>
    </w:p>
    <w:p w14:paraId="562C1342" w14:textId="77777777" w:rsidR="007A392C" w:rsidRPr="002D2FDF" w:rsidRDefault="00DF48E8">
      <w:pPr>
        <w:numPr>
          <w:ilvl w:val="0"/>
          <w:numId w:val="32"/>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Da data indicativa de conclusão da verificação necessária no caso referido no artigo II.16.2.1, alínea c).</w:t>
      </w:r>
    </w:p>
    <w:p w14:paraId="73EBAC28" w14:textId="77777777" w:rsidR="007A392C" w:rsidRPr="002D2FDF" w:rsidRDefault="00DF48E8">
      <w:pPr>
        <w:spacing w:line="240" w:lineRule="auto"/>
        <w:ind w:left="426"/>
        <w:jc w:val="both"/>
        <w:rPr>
          <w:rFonts w:ascii="Times New Roman" w:hAnsi="Times New Roman"/>
          <w:sz w:val="24"/>
          <w:szCs w:val="24"/>
          <w:lang w:val="pt-PT"/>
        </w:rPr>
      </w:pPr>
      <w:r w:rsidRPr="002D2FDF">
        <w:rPr>
          <w:rFonts w:ascii="Times New Roman" w:hAnsi="Times New Roman"/>
          <w:lang w:val="pt-PT"/>
        </w:rPr>
        <w:t xml:space="preserve">A suspensão produz efeitos cinco dias após a receção da </w:t>
      </w:r>
      <w:r w:rsidRPr="002D2FDF">
        <w:rPr>
          <w:rFonts w:ascii="Times New Roman" w:hAnsi="Times New Roman"/>
          <w:i/>
          <w:lang w:val="pt-PT"/>
        </w:rPr>
        <w:t>notificação formal</w:t>
      </w:r>
      <w:r w:rsidRPr="002D2FDF">
        <w:rPr>
          <w:rFonts w:ascii="Times New Roman" w:hAnsi="Times New Roman"/>
          <w:lang w:val="pt-PT"/>
        </w:rPr>
        <w:t xml:space="preserve"> pelo beneficiário, ou numa data posterior aí especificada.</w:t>
      </w:r>
    </w:p>
    <w:p w14:paraId="33386AED" w14:textId="77777777" w:rsidR="007A392C" w:rsidRPr="002D2FDF" w:rsidRDefault="00DF48E8">
      <w:pPr>
        <w:spacing w:line="240" w:lineRule="auto"/>
        <w:ind w:left="426"/>
        <w:jc w:val="both"/>
        <w:rPr>
          <w:rFonts w:ascii="Times New Roman" w:hAnsi="Times New Roman"/>
          <w:sz w:val="24"/>
          <w:szCs w:val="24"/>
          <w:lang w:val="pt-PT"/>
        </w:rPr>
      </w:pPr>
      <w:r w:rsidRPr="002D2FDF">
        <w:rPr>
          <w:rFonts w:ascii="Times New Roman" w:hAnsi="Times New Roman"/>
          <w:lang w:val="pt-PT"/>
        </w:rPr>
        <w:t xml:space="preserve">Caso contrário, a Comissão deve enviar uma </w:t>
      </w:r>
      <w:r w:rsidRPr="002D2FDF">
        <w:rPr>
          <w:rFonts w:ascii="Times New Roman" w:hAnsi="Times New Roman"/>
          <w:i/>
          <w:lang w:val="pt-PT"/>
        </w:rPr>
        <w:t>notificação formal</w:t>
      </w:r>
      <w:r w:rsidRPr="002D2FDF">
        <w:rPr>
          <w:rFonts w:ascii="Times New Roman" w:hAnsi="Times New Roman"/>
          <w:lang w:val="pt-PT"/>
        </w:rPr>
        <w:t xml:space="preserve"> ao beneficiário informando-o de que não pretende prosseguir com o procedimento de suspensão.</w:t>
      </w:r>
    </w:p>
    <w:p w14:paraId="166ACB42" w14:textId="77777777" w:rsidR="007A392C" w:rsidRPr="002D2FDF" w:rsidRDefault="00DF48E8">
      <w:pPr>
        <w:pStyle w:val="Heading4"/>
        <w:rPr>
          <w:lang w:val="pt-PT"/>
        </w:rPr>
      </w:pPr>
      <w:r w:rsidRPr="002D2FDF">
        <w:rPr>
          <w:lang w:val="pt-PT"/>
        </w:rPr>
        <w:t>II.16.2.3 Retoma da execução</w:t>
      </w:r>
    </w:p>
    <w:p w14:paraId="1A046F8E"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Para retomar a execução, o beneficiário deve tomar todas as medidas para satisfazer o mais rapidamente possível as condições indicadas na notificação e deve informar a Comissão de quaisquer progressos efetuados neste sentido.</w:t>
      </w:r>
    </w:p>
    <w:p w14:paraId="3738667D" w14:textId="77777777" w:rsidR="007A392C" w:rsidRPr="002D2FDF" w:rsidRDefault="00DF48E8">
      <w:pPr>
        <w:spacing w:after="120" w:line="240" w:lineRule="auto"/>
        <w:jc w:val="both"/>
        <w:rPr>
          <w:rFonts w:ascii="Times New Roman" w:hAnsi="Times New Roman"/>
          <w:sz w:val="24"/>
          <w:szCs w:val="24"/>
          <w:lang w:val="pt-PT"/>
        </w:rPr>
      </w:pPr>
      <w:r w:rsidRPr="002D2FDF">
        <w:rPr>
          <w:rFonts w:ascii="Times New Roman" w:hAnsi="Times New Roman"/>
          <w:lang w:val="pt-PT"/>
        </w:rPr>
        <w:t xml:space="preserve">Se as condições para a retoma da execução da convenção estiverem preenchidas ou as verificações necessárias tiverem sido efetuadas, a Comissão deve enviar uma </w:t>
      </w:r>
      <w:r w:rsidRPr="002D2FDF">
        <w:rPr>
          <w:rFonts w:ascii="Times New Roman" w:hAnsi="Times New Roman"/>
          <w:i/>
          <w:lang w:val="pt-PT"/>
        </w:rPr>
        <w:t>notificação formal</w:t>
      </w:r>
      <w:r w:rsidRPr="002D2FDF">
        <w:rPr>
          <w:rFonts w:ascii="Times New Roman" w:hAnsi="Times New Roman"/>
          <w:lang w:val="pt-PT"/>
        </w:rPr>
        <w:t xml:space="preserve"> ao beneficiário:</w:t>
      </w:r>
    </w:p>
    <w:p w14:paraId="09C0A354" w14:textId="77777777" w:rsidR="007A392C" w:rsidRPr="002D2FDF" w:rsidRDefault="00DF48E8">
      <w:pPr>
        <w:numPr>
          <w:ilvl w:val="0"/>
          <w:numId w:val="33"/>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Informando-o de que as condições para o levantamento da suspensão estão preenchidas; e</w:t>
      </w:r>
    </w:p>
    <w:p w14:paraId="3E467FCB" w14:textId="77777777" w:rsidR="007A392C" w:rsidRPr="002D2FDF" w:rsidRDefault="00DF48E8">
      <w:pPr>
        <w:numPr>
          <w:ilvl w:val="0"/>
          <w:numId w:val="33"/>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Convidando-o a apresentar um pedido de alteração da convenção, como previsto no artigo II.16.3. Esta obrigação não é aplicável em caso de resolução da convenção nos termos dos artigos II.17.1 ou das alíneas b), f) ou g) do artigo II.17.2.1.</w:t>
      </w:r>
    </w:p>
    <w:p w14:paraId="31A16404" w14:textId="77777777" w:rsidR="007A392C" w:rsidRPr="002D2FDF" w:rsidRDefault="00DF48E8">
      <w:pPr>
        <w:pStyle w:val="Heading3"/>
        <w:jc w:val="both"/>
        <w:rPr>
          <w:rFonts w:ascii="Times New Roman" w:hAnsi="Times New Roman"/>
          <w:lang w:val="pt-PT"/>
        </w:rPr>
      </w:pPr>
      <w:bookmarkStart w:id="56" w:name="_Toc441250849"/>
      <w:bookmarkStart w:id="57" w:name="_Toc446535892"/>
      <w:r w:rsidRPr="002D2FDF">
        <w:rPr>
          <w:rFonts w:ascii="Times New Roman" w:hAnsi="Times New Roman"/>
          <w:lang w:val="pt-PT"/>
        </w:rPr>
        <w:t xml:space="preserve">II.16.3 </w:t>
      </w:r>
      <w:r w:rsidRPr="002D2FDF">
        <w:rPr>
          <w:rFonts w:ascii="Times New Roman" w:hAnsi="Times New Roman"/>
          <w:lang w:val="pt-PT"/>
        </w:rPr>
        <w:tab/>
        <w:t>Efeitos da suspensão</w:t>
      </w:r>
      <w:bookmarkEnd w:id="56"/>
      <w:bookmarkEnd w:id="57"/>
    </w:p>
    <w:p w14:paraId="1786BC0E"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lang w:val="pt-PT"/>
        </w:rPr>
        <w:t xml:space="preserve">Se a execução da </w:t>
      </w:r>
      <w:r w:rsidRPr="002D2FDF">
        <w:rPr>
          <w:rFonts w:ascii="Times New Roman" w:hAnsi="Times New Roman"/>
          <w:i/>
          <w:lang w:val="pt-PT"/>
        </w:rPr>
        <w:t>ação</w:t>
      </w:r>
      <w:r w:rsidRPr="002D2FDF">
        <w:rPr>
          <w:rFonts w:ascii="Times New Roman" w:hAnsi="Times New Roman"/>
          <w:lang w:val="pt-PT"/>
        </w:rPr>
        <w:t xml:space="preserve"> puder ser retomada e a convenção não tiver sido resolvida, esta deve ser alterada em conformidade com o artigo II.13, a fim de:</w:t>
      </w:r>
    </w:p>
    <w:p w14:paraId="26E92D52" w14:textId="77777777" w:rsidR="007A392C" w:rsidRPr="002D2FDF" w:rsidRDefault="00DF48E8">
      <w:pPr>
        <w:numPr>
          <w:ilvl w:val="0"/>
          <w:numId w:val="34"/>
        </w:numPr>
        <w:spacing w:before="120" w:after="120" w:line="240" w:lineRule="auto"/>
        <w:jc w:val="both"/>
        <w:rPr>
          <w:rFonts w:ascii="Times New Roman" w:hAnsi="Times New Roman"/>
          <w:sz w:val="24"/>
          <w:szCs w:val="24"/>
          <w:lang w:val="pt-PT"/>
        </w:rPr>
      </w:pPr>
      <w:r w:rsidRPr="002D2FDF">
        <w:rPr>
          <w:rFonts w:ascii="Times New Roman" w:hAnsi="Times New Roman"/>
          <w:lang w:val="pt-PT"/>
        </w:rPr>
        <w:t xml:space="preserve">Definir a data em que a </w:t>
      </w:r>
      <w:r w:rsidRPr="002D2FDF">
        <w:rPr>
          <w:rFonts w:ascii="Times New Roman" w:hAnsi="Times New Roman"/>
          <w:i/>
          <w:lang w:val="pt-PT"/>
        </w:rPr>
        <w:t>ação</w:t>
      </w:r>
      <w:r w:rsidRPr="002D2FDF">
        <w:rPr>
          <w:rFonts w:ascii="Times New Roman" w:hAnsi="Times New Roman"/>
          <w:lang w:val="pt-PT"/>
        </w:rPr>
        <w:t xml:space="preserve"> deve ser retomada;</w:t>
      </w:r>
    </w:p>
    <w:p w14:paraId="5A7C5A29" w14:textId="77777777" w:rsidR="007A392C" w:rsidRPr="002D2FDF" w:rsidRDefault="00DF48E8">
      <w:pPr>
        <w:numPr>
          <w:ilvl w:val="0"/>
          <w:numId w:val="34"/>
        </w:numPr>
        <w:spacing w:before="120" w:after="120" w:line="240" w:lineRule="auto"/>
        <w:jc w:val="both"/>
        <w:rPr>
          <w:rFonts w:ascii="Times New Roman" w:hAnsi="Times New Roman"/>
          <w:sz w:val="24"/>
          <w:szCs w:val="24"/>
          <w:lang w:val="pt-PT"/>
        </w:rPr>
      </w:pPr>
      <w:r w:rsidRPr="002D2FDF">
        <w:rPr>
          <w:rFonts w:ascii="Times New Roman" w:hAnsi="Times New Roman"/>
          <w:lang w:val="pt-PT"/>
        </w:rPr>
        <w:t xml:space="preserve">Prolongar a duração da </w:t>
      </w:r>
      <w:r w:rsidRPr="002D2FDF">
        <w:rPr>
          <w:rFonts w:ascii="Times New Roman" w:hAnsi="Times New Roman"/>
          <w:i/>
          <w:lang w:val="pt-PT"/>
        </w:rPr>
        <w:t>ação</w:t>
      </w:r>
      <w:r w:rsidRPr="002D2FDF">
        <w:rPr>
          <w:rFonts w:ascii="Times New Roman" w:hAnsi="Times New Roman"/>
          <w:lang w:val="pt-PT"/>
        </w:rPr>
        <w:t>; e</w:t>
      </w:r>
    </w:p>
    <w:p w14:paraId="6F9BB9A6" w14:textId="77777777" w:rsidR="007A392C" w:rsidRPr="002D2FDF" w:rsidRDefault="00DF48E8">
      <w:pPr>
        <w:numPr>
          <w:ilvl w:val="0"/>
          <w:numId w:val="34"/>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Introduzir outras alterações necessárias para adaptar a </w:t>
      </w:r>
      <w:r w:rsidRPr="002D2FDF">
        <w:rPr>
          <w:rFonts w:ascii="Times New Roman" w:hAnsi="Times New Roman"/>
          <w:i/>
          <w:lang w:val="pt-PT"/>
        </w:rPr>
        <w:t>ação</w:t>
      </w:r>
      <w:r w:rsidRPr="002D2FDF">
        <w:rPr>
          <w:rFonts w:ascii="Times New Roman" w:hAnsi="Times New Roman"/>
          <w:lang w:val="pt-PT"/>
        </w:rPr>
        <w:t xml:space="preserve"> à nova situação.</w:t>
      </w:r>
    </w:p>
    <w:p w14:paraId="442DFE94"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A suspensão é levantada com efeitos a partir da data de retoma indicada na alteração. Essa data pode ser anterior à data em que a alteração entra em vigor.</w:t>
      </w:r>
    </w:p>
    <w:p w14:paraId="338C558C"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Os custos incorridos durante o período de suspensão para executar a </w:t>
      </w:r>
      <w:r w:rsidRPr="002D2FDF">
        <w:rPr>
          <w:rFonts w:ascii="Times New Roman" w:hAnsi="Times New Roman"/>
          <w:i/>
          <w:lang w:val="pt-PT"/>
        </w:rPr>
        <w:t>ação</w:t>
      </w:r>
      <w:r w:rsidRPr="002D2FDF">
        <w:rPr>
          <w:rFonts w:ascii="Times New Roman" w:hAnsi="Times New Roman"/>
          <w:lang w:val="pt-PT"/>
        </w:rPr>
        <w:t xml:space="preserve"> ou a parte suspensa não são reembolsados nem cobertos pela subvenção.  </w:t>
      </w:r>
    </w:p>
    <w:p w14:paraId="29BAB746"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A suspensão da execução da </w:t>
      </w:r>
      <w:r w:rsidRPr="002D2FDF">
        <w:rPr>
          <w:rFonts w:ascii="Times New Roman" w:hAnsi="Times New Roman"/>
          <w:i/>
          <w:lang w:val="pt-PT"/>
        </w:rPr>
        <w:t>ação</w:t>
      </w:r>
      <w:r w:rsidRPr="002D2FDF">
        <w:rPr>
          <w:rFonts w:ascii="Times New Roman" w:hAnsi="Times New Roman"/>
          <w:lang w:val="pt-PT"/>
        </w:rPr>
        <w:t xml:space="preserve"> não afeta o direito da Comissão a resolver a convenção nos termos do artigo II.17.2, a reduzir a subvenção ou a recuperar montantes indevidamente pagos, nos termos dos artigos II.25.4 e II.26.</w:t>
      </w:r>
    </w:p>
    <w:p w14:paraId="7B15C2FB"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Nenhuma das partes pode solicitar uma indemnização decorrente da suspensão por iniciativa da outra parte.</w:t>
      </w:r>
    </w:p>
    <w:p w14:paraId="0CE60D20" w14:textId="6D517A3C" w:rsidR="007A392C" w:rsidRPr="002D2FDF" w:rsidRDefault="00DF48E8">
      <w:pPr>
        <w:pStyle w:val="Heading2"/>
        <w:rPr>
          <w:rFonts w:ascii="Times New Roman" w:hAnsi="Times New Roman"/>
          <w:lang w:val="pt-PT"/>
        </w:rPr>
      </w:pPr>
      <w:bookmarkStart w:id="58" w:name="_Toc441250850"/>
      <w:bookmarkStart w:id="59" w:name="_Toc446535893"/>
      <w:r w:rsidRPr="002D2FDF">
        <w:rPr>
          <w:rFonts w:ascii="Times New Roman" w:hAnsi="Times New Roman"/>
          <w:lang w:val="pt-PT"/>
        </w:rPr>
        <w:t>Artigo II.17 — Resolução da vigência da subvenção</w:t>
      </w:r>
      <w:bookmarkEnd w:id="58"/>
      <w:bookmarkEnd w:id="59"/>
    </w:p>
    <w:p w14:paraId="70923480" w14:textId="4C7E8827" w:rsidR="007A392C" w:rsidRPr="002D2FDF" w:rsidRDefault="00DF48E8">
      <w:pPr>
        <w:pStyle w:val="Heading3"/>
        <w:jc w:val="both"/>
        <w:rPr>
          <w:rFonts w:ascii="Times New Roman" w:hAnsi="Times New Roman"/>
          <w:lang w:val="pt-PT"/>
        </w:rPr>
      </w:pPr>
      <w:bookmarkStart w:id="60" w:name="_Toc441250851"/>
      <w:bookmarkStart w:id="61" w:name="_Toc446535894"/>
      <w:r w:rsidRPr="002D2FDF">
        <w:rPr>
          <w:rFonts w:ascii="Times New Roman" w:hAnsi="Times New Roman"/>
          <w:lang w:val="pt-PT"/>
        </w:rPr>
        <w:t>II.17.1</w:t>
      </w:r>
      <w:r w:rsidRPr="002D2FDF">
        <w:rPr>
          <w:rFonts w:ascii="Times New Roman" w:hAnsi="Times New Roman"/>
          <w:lang w:val="pt-PT"/>
        </w:rPr>
        <w:tab/>
        <w:t xml:space="preserve">Resolução da vigência da convenção pelo </w:t>
      </w:r>
      <w:bookmarkEnd w:id="60"/>
      <w:r w:rsidRPr="002D2FDF">
        <w:rPr>
          <w:rFonts w:ascii="Times New Roman" w:hAnsi="Times New Roman"/>
          <w:lang w:val="pt-PT"/>
        </w:rPr>
        <w:t>beneficiário</w:t>
      </w:r>
      <w:bookmarkEnd w:id="61"/>
    </w:p>
    <w:p w14:paraId="33F51553"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O beneficiário pode resolver a convenção.</w:t>
      </w:r>
    </w:p>
    <w:p w14:paraId="5C3FF0AF"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lang w:val="pt-PT"/>
        </w:rPr>
        <w:t xml:space="preserve">O beneficiário deve enviar uma </w:t>
      </w:r>
      <w:r w:rsidRPr="002D2FDF">
        <w:rPr>
          <w:rFonts w:ascii="Times New Roman" w:hAnsi="Times New Roman"/>
          <w:i/>
          <w:lang w:val="pt-PT"/>
        </w:rPr>
        <w:t>notificação formal</w:t>
      </w:r>
      <w:r w:rsidRPr="002D2FDF">
        <w:rPr>
          <w:rFonts w:ascii="Times New Roman" w:hAnsi="Times New Roman"/>
          <w:lang w:val="pt-PT"/>
        </w:rPr>
        <w:t xml:space="preserve"> de resolução à Comissão, indicando:</w:t>
      </w:r>
    </w:p>
    <w:p w14:paraId="1C015A1E" w14:textId="0CB07A22" w:rsidR="007A392C" w:rsidRPr="002D2FDF" w:rsidRDefault="002D2FDF">
      <w:pPr>
        <w:numPr>
          <w:ilvl w:val="0"/>
          <w:numId w:val="35"/>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O</w:t>
      </w:r>
      <w:r w:rsidR="00DF48E8" w:rsidRPr="002D2FDF">
        <w:rPr>
          <w:rFonts w:ascii="Times New Roman" w:hAnsi="Times New Roman"/>
          <w:lang w:val="pt-PT"/>
        </w:rPr>
        <w:t>s motivos da resolução; e</w:t>
      </w:r>
    </w:p>
    <w:p w14:paraId="7AEB03FE" w14:textId="77777777" w:rsidR="007A392C" w:rsidRPr="002D2FDF" w:rsidRDefault="00DF48E8">
      <w:pPr>
        <w:numPr>
          <w:ilvl w:val="0"/>
          <w:numId w:val="35"/>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A data em que a resolução produz efeitos. A referida data deve ser posterior à data da </w:t>
      </w:r>
      <w:r w:rsidRPr="002D2FDF">
        <w:rPr>
          <w:rFonts w:ascii="Times New Roman" w:hAnsi="Times New Roman"/>
          <w:i/>
          <w:lang w:val="pt-PT"/>
        </w:rPr>
        <w:t>notificação formal.</w:t>
      </w:r>
    </w:p>
    <w:p w14:paraId="250511F9"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Se o beneficiário não indicar os motivos da resolução, ou se a Comissão considerar que não a justificam, considera-se que a resolução da convenção é abusiva.</w:t>
      </w:r>
    </w:p>
    <w:p w14:paraId="4E8F4A1C"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A resolução produz efeitos na data especificada na </w:t>
      </w:r>
      <w:r w:rsidRPr="002D2FDF">
        <w:rPr>
          <w:rFonts w:ascii="Times New Roman" w:hAnsi="Times New Roman"/>
          <w:i/>
          <w:lang w:val="pt-PT"/>
        </w:rPr>
        <w:t>notificação formal</w:t>
      </w:r>
      <w:r w:rsidRPr="002D2FDF">
        <w:rPr>
          <w:rFonts w:ascii="Times New Roman" w:hAnsi="Times New Roman"/>
          <w:lang w:val="pt-PT"/>
        </w:rPr>
        <w:t>.</w:t>
      </w:r>
    </w:p>
    <w:p w14:paraId="6A1AE70A" w14:textId="77777777" w:rsidR="007A392C" w:rsidRPr="002D2FDF" w:rsidRDefault="00DF48E8">
      <w:pPr>
        <w:pStyle w:val="Heading3"/>
        <w:jc w:val="both"/>
        <w:rPr>
          <w:rFonts w:ascii="Times New Roman" w:hAnsi="Times New Roman"/>
          <w:lang w:val="pt-PT"/>
        </w:rPr>
      </w:pPr>
      <w:bookmarkStart w:id="62" w:name="_Toc441250853"/>
      <w:bookmarkStart w:id="63" w:name="_Toc446535896"/>
      <w:r w:rsidRPr="002D2FDF">
        <w:rPr>
          <w:rFonts w:ascii="Times New Roman" w:hAnsi="Times New Roman"/>
          <w:lang w:val="pt-PT"/>
        </w:rPr>
        <w:t>II.17.2</w:t>
      </w:r>
      <w:r w:rsidRPr="002D2FDF">
        <w:rPr>
          <w:rFonts w:ascii="Times New Roman" w:hAnsi="Times New Roman"/>
          <w:lang w:val="pt-PT"/>
        </w:rPr>
        <w:tab/>
        <w:t>Resolução da vigência da convenção pela Comissão</w:t>
      </w:r>
      <w:bookmarkEnd w:id="62"/>
      <w:bookmarkEnd w:id="63"/>
    </w:p>
    <w:p w14:paraId="251E66CA" w14:textId="77777777" w:rsidR="007A392C" w:rsidRPr="002D2FDF" w:rsidRDefault="00DF48E8">
      <w:pPr>
        <w:pStyle w:val="Heading4"/>
        <w:spacing w:after="240"/>
        <w:rPr>
          <w:lang w:val="pt-PT"/>
        </w:rPr>
      </w:pPr>
      <w:r w:rsidRPr="002D2FDF">
        <w:rPr>
          <w:lang w:val="pt-PT"/>
        </w:rPr>
        <w:t>II.17.2.1</w:t>
      </w:r>
      <w:r w:rsidRPr="002D2FDF">
        <w:rPr>
          <w:lang w:val="pt-PT"/>
        </w:rPr>
        <w:tab/>
        <w:t>Motivos da resolução</w:t>
      </w:r>
    </w:p>
    <w:p w14:paraId="1A5A2C66"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lang w:val="pt-PT"/>
        </w:rPr>
        <w:t>A Comissão pode resolver a convenção se:</w:t>
      </w:r>
    </w:p>
    <w:p w14:paraId="106616CE" w14:textId="0EC23BB7" w:rsidR="007A392C" w:rsidRPr="002D2FDF" w:rsidRDefault="00DF48E8">
      <w:pPr>
        <w:numPr>
          <w:ilvl w:val="0"/>
          <w:numId w:val="36"/>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Uma alteração da situação jurídica, financeira, técnica, organizacional ou de propriedade do beneficiário puder afetar a execução da convenção de maneira substancial ou puser em causa a decisão de atribuição da subvenção</w:t>
      </w:r>
      <w:r w:rsidRPr="002D2FDF">
        <w:rPr>
          <w:lang w:val="pt-PT"/>
        </w:rPr>
        <w:t>, ou uma alteração relativa às situações de exclusão referidas no artigo 136.º do Regulamento (UE) 2018/1046, que ponha em causa a decisão de atribuição da subvenção;</w:t>
      </w:r>
    </w:p>
    <w:p w14:paraId="12ABFA57" w14:textId="520E3A88" w:rsidR="007A392C" w:rsidRPr="002D2FDF" w:rsidRDefault="00531303">
      <w:pPr>
        <w:numPr>
          <w:ilvl w:val="0"/>
          <w:numId w:val="36"/>
        </w:numPr>
        <w:spacing w:line="240" w:lineRule="auto"/>
        <w:ind w:left="851" w:hanging="567"/>
        <w:jc w:val="both"/>
        <w:rPr>
          <w:rFonts w:ascii="Times New Roman" w:hAnsi="Times New Roman"/>
          <w:sz w:val="24"/>
          <w:szCs w:val="24"/>
          <w:lang w:val="pt-PT"/>
        </w:rPr>
      </w:pPr>
      <w:r w:rsidRPr="002D2FDF">
        <w:rPr>
          <w:rFonts w:ascii="Times New Roman" w:hAnsi="Times New Roman"/>
          <w:lang w:val="pt-PT"/>
        </w:rPr>
        <w:t xml:space="preserve">O beneficiário, qualquer pessoa </w:t>
      </w:r>
      <w:r w:rsidRPr="002D2FDF">
        <w:rPr>
          <w:rFonts w:ascii="Times New Roman" w:hAnsi="Times New Roman"/>
          <w:i/>
          <w:lang w:val="pt-PT"/>
        </w:rPr>
        <w:t>relacionada</w:t>
      </w:r>
      <w:r w:rsidRPr="002D2FDF">
        <w:rPr>
          <w:rFonts w:ascii="Times New Roman" w:hAnsi="Times New Roman"/>
          <w:lang w:val="pt-PT"/>
        </w:rPr>
        <w:t xml:space="preserve"> ou qualquer pessoa singular que seja essencial para a atribuição ou execução da convenção </w:t>
      </w:r>
      <w:r w:rsidRPr="002D2FDF">
        <w:rPr>
          <w:rFonts w:ascii="Times New Roman" w:hAnsi="Times New Roman"/>
          <w:i/>
          <w:lang w:val="pt-PT"/>
        </w:rPr>
        <w:t>tiver incumprido gravemente obrigações</w:t>
      </w:r>
      <w:r w:rsidRPr="002D2FDF">
        <w:rPr>
          <w:rFonts w:ascii="Times New Roman" w:hAnsi="Times New Roman"/>
          <w:lang w:val="pt-PT"/>
        </w:rPr>
        <w:t xml:space="preserve">, incluindo a execução incorreta da </w:t>
      </w:r>
      <w:r w:rsidRPr="002D2FDF">
        <w:rPr>
          <w:rFonts w:ascii="Times New Roman" w:hAnsi="Times New Roman"/>
          <w:i/>
          <w:lang w:val="pt-PT"/>
        </w:rPr>
        <w:t>ação</w:t>
      </w:r>
      <w:r w:rsidRPr="002D2FDF">
        <w:rPr>
          <w:rFonts w:ascii="Times New Roman" w:hAnsi="Times New Roman"/>
          <w:lang w:val="pt-PT"/>
        </w:rPr>
        <w:t>, tal como descrito no anexo II;</w:t>
      </w:r>
    </w:p>
    <w:p w14:paraId="1AF8337C" w14:textId="77777777" w:rsidR="007A392C" w:rsidRPr="002D2FDF" w:rsidRDefault="00DF48E8">
      <w:pPr>
        <w:numPr>
          <w:ilvl w:val="0"/>
          <w:numId w:val="36"/>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A execução da </w:t>
      </w:r>
      <w:r w:rsidRPr="002D2FDF">
        <w:rPr>
          <w:rFonts w:ascii="Times New Roman" w:hAnsi="Times New Roman"/>
          <w:i/>
          <w:lang w:val="pt-PT"/>
        </w:rPr>
        <w:t>ação</w:t>
      </w:r>
      <w:r w:rsidRPr="002D2FDF">
        <w:rPr>
          <w:rFonts w:ascii="Times New Roman" w:hAnsi="Times New Roman"/>
          <w:lang w:val="pt-PT"/>
        </w:rPr>
        <w:t xml:space="preserve"> for impossível ou estiver suspensa devido a um caso de força maior ou a circunstâncias excecionais que:</w:t>
      </w:r>
    </w:p>
    <w:p w14:paraId="3EDBE82D" w14:textId="77777777" w:rsidR="007A392C" w:rsidRDefault="00DF48E8">
      <w:pPr>
        <w:numPr>
          <w:ilvl w:val="0"/>
          <w:numId w:val="37"/>
        </w:numPr>
        <w:spacing w:before="100" w:beforeAutospacing="1" w:after="100" w:afterAutospacing="1" w:line="240" w:lineRule="auto"/>
        <w:ind w:left="1418" w:hanging="425"/>
        <w:jc w:val="both"/>
        <w:rPr>
          <w:rFonts w:ascii="Times New Roman" w:hAnsi="Times New Roman"/>
          <w:sz w:val="24"/>
          <w:szCs w:val="24"/>
        </w:rPr>
      </w:pPr>
      <w:r>
        <w:rPr>
          <w:rFonts w:ascii="Times New Roman" w:hAnsi="Times New Roman"/>
        </w:rPr>
        <w:t>tornem a retoma impossível; ou</w:t>
      </w:r>
    </w:p>
    <w:p w14:paraId="1566CECE" w14:textId="77777777" w:rsidR="007A392C" w:rsidRPr="002D2FDF" w:rsidRDefault="00DF48E8">
      <w:pPr>
        <w:numPr>
          <w:ilvl w:val="0"/>
          <w:numId w:val="37"/>
        </w:numPr>
        <w:spacing w:before="100" w:beforeAutospacing="1" w:after="100" w:afterAutospacing="1" w:line="240" w:lineRule="auto"/>
        <w:ind w:left="1418" w:hanging="425"/>
        <w:jc w:val="both"/>
        <w:rPr>
          <w:rFonts w:ascii="Times New Roman" w:hAnsi="Times New Roman"/>
          <w:sz w:val="24"/>
          <w:szCs w:val="24"/>
          <w:lang w:val="pt-PT"/>
        </w:rPr>
      </w:pPr>
      <w:r w:rsidRPr="002D2FDF">
        <w:rPr>
          <w:rFonts w:ascii="Times New Roman" w:hAnsi="Times New Roman"/>
          <w:lang w:val="pt-PT"/>
        </w:rPr>
        <w:t>as alterações que seria necessário introduzir na convenção poriam em causa a decisão de atribuição ou seriam contrárias ao princípio da igualdade de tratamento dos candidatos;</w:t>
      </w:r>
    </w:p>
    <w:p w14:paraId="518E5717" w14:textId="650F3744" w:rsidR="007A392C" w:rsidRPr="002D2FDF" w:rsidRDefault="00DF48E8">
      <w:pPr>
        <w:numPr>
          <w:ilvl w:val="0"/>
          <w:numId w:val="36"/>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O beneficiário ou uma pessoa singular ou coletiva que assuma a responsabilidade ilimitada pelas dívidas do beneficiário:</w:t>
      </w:r>
    </w:p>
    <w:p w14:paraId="68C9D53F" w14:textId="47BC6D98" w:rsidR="007A392C" w:rsidRPr="002D2FDF" w:rsidRDefault="00531303">
      <w:pPr>
        <w:numPr>
          <w:ilvl w:val="0"/>
          <w:numId w:val="115"/>
        </w:numPr>
        <w:spacing w:after="0" w:line="240" w:lineRule="auto"/>
        <w:jc w:val="both"/>
        <w:rPr>
          <w:rFonts w:ascii="Times New Roman" w:hAnsi="Times New Roman"/>
          <w:sz w:val="24"/>
          <w:szCs w:val="24"/>
          <w:lang w:val="pt-PT"/>
        </w:rPr>
      </w:pPr>
      <w:r w:rsidRPr="002D2FDF">
        <w:rPr>
          <w:rFonts w:ascii="Times New Roman" w:hAnsi="Times New Roman"/>
          <w:lang w:val="pt-PT"/>
        </w:rPr>
        <w:t>for declarado em situação de falência, estiver sujeito a um processo de insolvência ou de liquidação, os seus bens estiverem sob administração de um liquidatário ou sob administração judicial, tiver celebrado um acordo com os credores, tiver suspendido as suas atividades empresariais ou se se encontrar em qualquer situação análoga resultante de um processo da mesma natureza ao abrigo do direito da União ou do direito nacional;</w:t>
      </w:r>
    </w:p>
    <w:p w14:paraId="22C54646" w14:textId="77777777" w:rsidR="007A392C" w:rsidRPr="002D2FDF" w:rsidRDefault="007A392C">
      <w:pPr>
        <w:spacing w:after="0" w:line="240" w:lineRule="auto"/>
        <w:ind w:left="720"/>
        <w:jc w:val="both"/>
        <w:rPr>
          <w:rFonts w:ascii="Times New Roman" w:hAnsi="Times New Roman"/>
          <w:sz w:val="24"/>
          <w:szCs w:val="24"/>
          <w:lang w:val="pt-PT"/>
        </w:rPr>
      </w:pPr>
    </w:p>
    <w:p w14:paraId="2206D337" w14:textId="77777777" w:rsidR="007A392C" w:rsidRPr="002D2FDF" w:rsidRDefault="00531303">
      <w:pPr>
        <w:numPr>
          <w:ilvl w:val="0"/>
          <w:numId w:val="115"/>
        </w:numPr>
        <w:spacing w:line="240" w:lineRule="auto"/>
        <w:jc w:val="both"/>
        <w:rPr>
          <w:rFonts w:ascii="Times New Roman" w:hAnsi="Times New Roman"/>
          <w:sz w:val="24"/>
          <w:szCs w:val="24"/>
          <w:lang w:val="pt-PT"/>
        </w:rPr>
      </w:pPr>
      <w:r w:rsidRPr="002D2FDF">
        <w:rPr>
          <w:rFonts w:ascii="Times New Roman" w:hAnsi="Times New Roman"/>
          <w:lang w:val="pt-PT"/>
        </w:rPr>
        <w:t xml:space="preserve">não tiver cumprido as suas obrigações relativamente ao pagamento de impostos ou de contribuições para a segurança social, de acordo com a legislação aplicável; </w:t>
      </w:r>
    </w:p>
    <w:p w14:paraId="087C5466" w14:textId="77777777" w:rsidR="007A392C" w:rsidRPr="002D2FDF" w:rsidRDefault="007A392C">
      <w:pPr>
        <w:spacing w:before="120" w:after="120" w:line="240" w:lineRule="auto"/>
        <w:ind w:left="714"/>
        <w:jc w:val="both"/>
        <w:rPr>
          <w:rFonts w:ascii="Times New Roman" w:hAnsi="Times New Roman"/>
          <w:sz w:val="24"/>
          <w:szCs w:val="24"/>
          <w:lang w:val="pt-PT"/>
        </w:rPr>
      </w:pPr>
    </w:p>
    <w:p w14:paraId="2418811D" w14:textId="058A9296" w:rsidR="007A392C" w:rsidRPr="002D2FDF" w:rsidRDefault="007A392C">
      <w:pPr>
        <w:spacing w:before="120" w:after="120" w:line="240" w:lineRule="auto"/>
        <w:ind w:left="357"/>
        <w:jc w:val="both"/>
        <w:rPr>
          <w:rFonts w:ascii="Times New Roman" w:hAnsi="Times New Roman"/>
          <w:sz w:val="24"/>
          <w:szCs w:val="24"/>
          <w:lang w:val="pt-PT"/>
        </w:rPr>
      </w:pPr>
    </w:p>
    <w:p w14:paraId="03809BF8" w14:textId="77777777" w:rsidR="007A392C" w:rsidRPr="002D2FDF" w:rsidRDefault="00531303">
      <w:pPr>
        <w:numPr>
          <w:ilvl w:val="0"/>
          <w:numId w:val="36"/>
        </w:numPr>
        <w:spacing w:after="0" w:line="240" w:lineRule="auto"/>
        <w:ind w:left="851" w:hanging="567"/>
        <w:jc w:val="both"/>
        <w:rPr>
          <w:rFonts w:ascii="Times New Roman" w:hAnsi="Times New Roman"/>
          <w:sz w:val="24"/>
          <w:szCs w:val="24"/>
          <w:lang w:val="pt-PT"/>
        </w:rPr>
      </w:pPr>
      <w:r w:rsidRPr="002D2FDF">
        <w:rPr>
          <w:rFonts w:ascii="Times New Roman" w:hAnsi="Times New Roman"/>
          <w:lang w:val="pt-PT"/>
        </w:rPr>
        <w:t>O beneficiário, uma pessoa relacionada ou uma pessoa singular essencial para a atribuição ou execução da convenção tiver cometido:</w:t>
      </w:r>
    </w:p>
    <w:p w14:paraId="77EC2081" w14:textId="77777777" w:rsidR="007A392C" w:rsidRPr="002D2FDF" w:rsidRDefault="00531303">
      <w:pPr>
        <w:numPr>
          <w:ilvl w:val="0"/>
          <w:numId w:val="116"/>
        </w:numPr>
        <w:spacing w:after="0" w:line="240" w:lineRule="auto"/>
        <w:ind w:left="1418" w:hanging="567"/>
        <w:jc w:val="both"/>
        <w:rPr>
          <w:rFonts w:ascii="Times New Roman" w:hAnsi="Times New Roman"/>
          <w:sz w:val="24"/>
          <w:szCs w:val="24"/>
          <w:lang w:val="pt-PT"/>
        </w:rPr>
      </w:pPr>
      <w:r w:rsidRPr="002D2FDF">
        <w:rPr>
          <w:rFonts w:ascii="Times New Roman" w:hAnsi="Times New Roman"/>
          <w:lang w:val="pt-PT"/>
        </w:rPr>
        <w:t>faltas graves em matéria profissional, provadas por quaisquer meios;</w:t>
      </w:r>
    </w:p>
    <w:p w14:paraId="38A7E388" w14:textId="77777777" w:rsidR="007A392C" w:rsidRDefault="00531303">
      <w:pPr>
        <w:numPr>
          <w:ilvl w:val="0"/>
          <w:numId w:val="116"/>
        </w:numPr>
        <w:spacing w:after="0" w:line="240" w:lineRule="auto"/>
        <w:ind w:left="1418" w:hanging="567"/>
        <w:jc w:val="both"/>
        <w:rPr>
          <w:rFonts w:ascii="Times New Roman" w:hAnsi="Times New Roman"/>
          <w:sz w:val="24"/>
          <w:szCs w:val="24"/>
        </w:rPr>
      </w:pPr>
      <w:r>
        <w:rPr>
          <w:rFonts w:ascii="Times New Roman" w:hAnsi="Times New Roman"/>
        </w:rPr>
        <w:t>fraude;</w:t>
      </w:r>
    </w:p>
    <w:p w14:paraId="1BD0BD30" w14:textId="77777777" w:rsidR="007A392C" w:rsidRDefault="00531303">
      <w:pPr>
        <w:numPr>
          <w:ilvl w:val="0"/>
          <w:numId w:val="116"/>
        </w:numPr>
        <w:spacing w:after="0" w:line="240" w:lineRule="auto"/>
        <w:ind w:left="1418" w:hanging="567"/>
        <w:jc w:val="both"/>
        <w:rPr>
          <w:rFonts w:ascii="Times New Roman" w:hAnsi="Times New Roman"/>
          <w:sz w:val="24"/>
          <w:szCs w:val="24"/>
        </w:rPr>
      </w:pPr>
      <w:r>
        <w:rPr>
          <w:rFonts w:ascii="Times New Roman" w:hAnsi="Times New Roman"/>
        </w:rPr>
        <w:t>corrupção;</w:t>
      </w:r>
    </w:p>
    <w:p w14:paraId="31F699AE" w14:textId="77777777" w:rsidR="007A392C" w:rsidRPr="002D2FDF" w:rsidRDefault="00531303">
      <w:pPr>
        <w:numPr>
          <w:ilvl w:val="0"/>
          <w:numId w:val="116"/>
        </w:numPr>
        <w:spacing w:after="0" w:line="240" w:lineRule="auto"/>
        <w:ind w:left="1418" w:hanging="567"/>
        <w:jc w:val="both"/>
        <w:rPr>
          <w:rFonts w:ascii="Times New Roman" w:hAnsi="Times New Roman"/>
          <w:sz w:val="24"/>
          <w:szCs w:val="24"/>
          <w:lang w:val="pt-PT"/>
        </w:rPr>
      </w:pPr>
      <w:r w:rsidRPr="002D2FDF">
        <w:rPr>
          <w:rFonts w:ascii="Times New Roman" w:hAnsi="Times New Roman"/>
          <w:lang w:val="pt-PT"/>
        </w:rPr>
        <w:t>atos relacionados com organizações criminosas;</w:t>
      </w:r>
    </w:p>
    <w:p w14:paraId="5C726760" w14:textId="77777777" w:rsidR="007A392C" w:rsidRDefault="00531303">
      <w:pPr>
        <w:numPr>
          <w:ilvl w:val="0"/>
          <w:numId w:val="116"/>
        </w:numPr>
        <w:spacing w:after="0" w:line="240" w:lineRule="auto"/>
        <w:ind w:left="1418" w:hanging="567"/>
        <w:jc w:val="both"/>
        <w:rPr>
          <w:rFonts w:ascii="Times New Roman" w:hAnsi="Times New Roman"/>
          <w:sz w:val="24"/>
          <w:szCs w:val="24"/>
        </w:rPr>
      </w:pPr>
      <w:r>
        <w:rPr>
          <w:rFonts w:ascii="Times New Roman" w:hAnsi="Times New Roman"/>
        </w:rPr>
        <w:t>branqueamento de capitais;</w:t>
      </w:r>
    </w:p>
    <w:p w14:paraId="2BF4AC70" w14:textId="77777777" w:rsidR="007A392C" w:rsidRPr="002D2FDF" w:rsidRDefault="00531303">
      <w:pPr>
        <w:numPr>
          <w:ilvl w:val="0"/>
          <w:numId w:val="116"/>
        </w:numPr>
        <w:spacing w:after="0" w:line="240" w:lineRule="auto"/>
        <w:ind w:left="1418" w:hanging="567"/>
        <w:jc w:val="both"/>
        <w:rPr>
          <w:rFonts w:ascii="Times New Roman" w:hAnsi="Times New Roman"/>
          <w:sz w:val="24"/>
          <w:szCs w:val="24"/>
          <w:lang w:val="pt-PT"/>
        </w:rPr>
      </w:pPr>
      <w:r w:rsidRPr="002D2FDF">
        <w:rPr>
          <w:rFonts w:ascii="Times New Roman" w:hAnsi="Times New Roman"/>
          <w:lang w:val="pt-PT"/>
        </w:rPr>
        <w:t>crimes relacionados com terrorismo (incluindo o financiamento de terrorismo);</w:t>
      </w:r>
    </w:p>
    <w:p w14:paraId="64880101" w14:textId="77777777" w:rsidR="007A392C" w:rsidRPr="002D2FDF" w:rsidRDefault="00531303">
      <w:pPr>
        <w:numPr>
          <w:ilvl w:val="0"/>
          <w:numId w:val="116"/>
        </w:numPr>
        <w:spacing w:line="240" w:lineRule="auto"/>
        <w:ind w:left="1418" w:hanging="567"/>
        <w:jc w:val="both"/>
        <w:rPr>
          <w:rFonts w:ascii="Times New Roman" w:hAnsi="Times New Roman"/>
          <w:sz w:val="24"/>
          <w:szCs w:val="24"/>
          <w:lang w:val="pt-PT"/>
        </w:rPr>
      </w:pPr>
      <w:r w:rsidRPr="002D2FDF">
        <w:rPr>
          <w:rFonts w:ascii="Times New Roman" w:hAnsi="Times New Roman"/>
          <w:lang w:val="pt-PT"/>
        </w:rPr>
        <w:t>trabalho infantil ou outras infrações relacionadas com o tráfico de seres humanos;</w:t>
      </w:r>
    </w:p>
    <w:p w14:paraId="306A36A7" w14:textId="77777777" w:rsidR="007A392C" w:rsidRPr="002D2FDF" w:rsidRDefault="007A392C">
      <w:pPr>
        <w:spacing w:before="120" w:after="120" w:line="240" w:lineRule="auto"/>
        <w:ind w:left="714"/>
        <w:jc w:val="both"/>
        <w:rPr>
          <w:rFonts w:ascii="Times New Roman" w:hAnsi="Times New Roman"/>
          <w:sz w:val="24"/>
          <w:szCs w:val="24"/>
          <w:lang w:val="pt-PT"/>
        </w:rPr>
      </w:pPr>
    </w:p>
    <w:p w14:paraId="2ABC6D7F" w14:textId="0738C075" w:rsidR="007A392C" w:rsidRPr="002D2FDF" w:rsidRDefault="00DF48E8">
      <w:pPr>
        <w:numPr>
          <w:ilvl w:val="0"/>
          <w:numId w:val="36"/>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Tiver provas de que o beneficiário, uma </w:t>
      </w:r>
      <w:r w:rsidRPr="002D2FDF">
        <w:rPr>
          <w:rFonts w:ascii="Times New Roman" w:hAnsi="Times New Roman"/>
          <w:i/>
          <w:lang w:val="pt-PT"/>
        </w:rPr>
        <w:t>pessoa relacionada</w:t>
      </w:r>
      <w:r w:rsidRPr="002D2FDF">
        <w:rPr>
          <w:lang w:val="pt-PT"/>
        </w:rPr>
        <w:t xml:space="preserve"> ou uma pessoa singular que seja essencial para a atribuição ou execução da convenção</w:t>
      </w:r>
      <w:r w:rsidRPr="002D2FDF">
        <w:rPr>
          <w:rFonts w:ascii="Times New Roman" w:hAnsi="Times New Roman"/>
          <w:lang w:val="pt-PT"/>
        </w:rPr>
        <w:t xml:space="preserve"> cometeu </w:t>
      </w:r>
      <w:r w:rsidRPr="002D2FDF">
        <w:rPr>
          <w:rFonts w:ascii="Times New Roman" w:hAnsi="Times New Roman"/>
          <w:i/>
          <w:lang w:val="pt-PT"/>
        </w:rPr>
        <w:t>irregularidades</w:t>
      </w:r>
      <w:r w:rsidRPr="002D2FDF">
        <w:rPr>
          <w:rFonts w:ascii="Times New Roman" w:hAnsi="Times New Roman"/>
          <w:lang w:val="pt-PT"/>
        </w:rPr>
        <w:t xml:space="preserve">, </w:t>
      </w:r>
      <w:r w:rsidRPr="002D2FDF">
        <w:rPr>
          <w:rFonts w:ascii="Times New Roman" w:hAnsi="Times New Roman"/>
          <w:i/>
          <w:lang w:val="pt-PT"/>
        </w:rPr>
        <w:t>fraudes</w:t>
      </w:r>
      <w:r w:rsidRPr="002D2FDF">
        <w:rPr>
          <w:rFonts w:ascii="Times New Roman" w:hAnsi="Times New Roman"/>
          <w:lang w:val="pt-PT"/>
        </w:rPr>
        <w:t xml:space="preserve"> </w:t>
      </w:r>
      <w:r w:rsidRPr="002D2FDF">
        <w:rPr>
          <w:lang w:val="pt-PT"/>
        </w:rPr>
        <w:t xml:space="preserve">ou </w:t>
      </w:r>
      <w:r w:rsidRPr="002D2FDF">
        <w:rPr>
          <w:i/>
          <w:lang w:val="pt-PT"/>
        </w:rPr>
        <w:t>incumprimentos de obrigações</w:t>
      </w:r>
      <w:r w:rsidRPr="002D2FDF">
        <w:rPr>
          <w:lang w:val="pt-PT"/>
        </w:rPr>
        <w:t xml:space="preserve"> </w:t>
      </w:r>
      <w:r w:rsidRPr="002D2FDF">
        <w:rPr>
          <w:rFonts w:ascii="Times New Roman" w:hAnsi="Times New Roman"/>
          <w:lang w:val="pt-PT"/>
        </w:rPr>
        <w:t xml:space="preserve">no âmbito do procedimento de atribuição ou da execução da convenção, incluindo se o beneficiário ou a </w:t>
      </w:r>
      <w:r w:rsidRPr="002D2FDF">
        <w:rPr>
          <w:rFonts w:ascii="Times New Roman" w:hAnsi="Times New Roman"/>
          <w:i/>
          <w:lang w:val="pt-PT"/>
        </w:rPr>
        <w:t>pessoa relacionada</w:t>
      </w:r>
      <w:r w:rsidRPr="002D2FDF">
        <w:rPr>
          <w:rFonts w:ascii="Times New Roman" w:hAnsi="Times New Roman"/>
          <w:lang w:val="pt-PT"/>
        </w:rPr>
        <w:t xml:space="preserve"> tiver apresentado informações falsas ou não tiver fornecido as informações exigidas;</w:t>
      </w:r>
    </w:p>
    <w:p w14:paraId="19C17848" w14:textId="273C0366" w:rsidR="007A392C" w:rsidRPr="002D2FDF" w:rsidRDefault="00DF48E8">
      <w:pPr>
        <w:numPr>
          <w:ilvl w:val="0"/>
          <w:numId w:val="36"/>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Tiver provas de que o beneficiário cometeu, de forma sistemática ou recorrente, erros, </w:t>
      </w:r>
      <w:r w:rsidRPr="002D2FDF">
        <w:rPr>
          <w:rFonts w:ascii="Times New Roman" w:hAnsi="Times New Roman"/>
          <w:i/>
          <w:lang w:val="pt-PT"/>
        </w:rPr>
        <w:t>irregularidades</w:t>
      </w:r>
      <w:r w:rsidRPr="002D2FDF">
        <w:rPr>
          <w:rFonts w:ascii="Times New Roman" w:hAnsi="Times New Roman"/>
          <w:lang w:val="pt-PT"/>
        </w:rPr>
        <w:t xml:space="preserve">, </w:t>
      </w:r>
      <w:r w:rsidRPr="002D2FDF">
        <w:rPr>
          <w:rFonts w:ascii="Times New Roman" w:hAnsi="Times New Roman"/>
          <w:i/>
          <w:lang w:val="pt-PT"/>
        </w:rPr>
        <w:t>fraudes</w:t>
      </w:r>
      <w:r w:rsidRPr="002D2FDF">
        <w:rPr>
          <w:rFonts w:ascii="Times New Roman" w:hAnsi="Times New Roman"/>
          <w:lang w:val="pt-PT"/>
        </w:rPr>
        <w:t xml:space="preserve"> ou incumprimentos graves de obrigações no âmbito de outras subvenções financiadas pela União ou pela Euratom concedidas em condições semelhantes e de que esses erros, </w:t>
      </w:r>
      <w:r w:rsidRPr="002D2FDF">
        <w:rPr>
          <w:rFonts w:ascii="Times New Roman" w:hAnsi="Times New Roman"/>
          <w:i/>
          <w:lang w:val="pt-PT"/>
        </w:rPr>
        <w:t>irregularidades, fraudes</w:t>
      </w:r>
      <w:r w:rsidRPr="002D2FDF">
        <w:rPr>
          <w:rFonts w:ascii="Times New Roman" w:hAnsi="Times New Roman"/>
          <w:lang w:val="pt-PT"/>
        </w:rPr>
        <w:t xml:space="preserve"> ou </w:t>
      </w:r>
      <w:r w:rsidRPr="002D2FDF">
        <w:rPr>
          <w:rFonts w:ascii="Times New Roman" w:hAnsi="Times New Roman"/>
          <w:i/>
          <w:lang w:val="pt-PT"/>
        </w:rPr>
        <w:t>incumprimentos de obrigações</w:t>
      </w:r>
      <w:r w:rsidRPr="002D2FDF">
        <w:rPr>
          <w:rFonts w:ascii="Times New Roman" w:hAnsi="Times New Roman"/>
          <w:lang w:val="pt-PT"/>
        </w:rPr>
        <w:t xml:space="preserve"> têm um impacto significativo na presente subvenção; ou</w:t>
      </w:r>
    </w:p>
    <w:p w14:paraId="74E02B8B" w14:textId="77777777" w:rsidR="007A392C" w:rsidRPr="002D2FDF" w:rsidRDefault="00531303">
      <w:pPr>
        <w:numPr>
          <w:ilvl w:val="0"/>
          <w:numId w:val="36"/>
        </w:numPr>
        <w:spacing w:line="240" w:lineRule="auto"/>
        <w:ind w:left="851" w:hanging="567"/>
        <w:jc w:val="both"/>
        <w:rPr>
          <w:szCs w:val="24"/>
          <w:lang w:val="pt-PT"/>
        </w:rPr>
      </w:pPr>
      <w:r w:rsidRPr="002D2FDF">
        <w:rPr>
          <w:lang w:val="pt-PT"/>
        </w:rPr>
        <w:t xml:space="preserve">O beneficiário, uma </w:t>
      </w:r>
      <w:r w:rsidRPr="002D2FDF">
        <w:rPr>
          <w:i/>
          <w:lang w:val="pt-PT"/>
        </w:rPr>
        <w:t>pessoa relacionada</w:t>
      </w:r>
      <w:r w:rsidRPr="002D2FDF">
        <w:rPr>
          <w:lang w:val="pt-PT"/>
        </w:rPr>
        <w:t xml:space="preserve"> ou uma pessoa singular que seja essencial para a atribuição ou execução da convenção tiver criado uma entidade numa jurisdição diferente com a intenção de contornar obrigações fiscais, sociais ou outras obrigações legais na jurisdição da sua sede social, da sua administração central ou do seu local de atividade principal;</w:t>
      </w:r>
    </w:p>
    <w:p w14:paraId="35656484" w14:textId="77777777" w:rsidR="007A392C" w:rsidRPr="002D2FDF" w:rsidRDefault="00531303">
      <w:pPr>
        <w:numPr>
          <w:ilvl w:val="0"/>
          <w:numId w:val="36"/>
        </w:numPr>
        <w:spacing w:line="240" w:lineRule="auto"/>
        <w:ind w:left="851" w:hanging="567"/>
        <w:jc w:val="both"/>
        <w:rPr>
          <w:szCs w:val="24"/>
          <w:lang w:val="pt-PT"/>
        </w:rPr>
      </w:pPr>
      <w:r w:rsidRPr="002D2FDF">
        <w:rPr>
          <w:lang w:val="pt-PT"/>
        </w:rPr>
        <w:t xml:space="preserve">Tiver sido criado um beneficiário ou uma </w:t>
      </w:r>
      <w:r w:rsidRPr="002D2FDF">
        <w:rPr>
          <w:i/>
          <w:lang w:val="pt-PT"/>
        </w:rPr>
        <w:t>pessoa relacionada</w:t>
      </w:r>
      <w:r w:rsidRPr="002D2FDF">
        <w:rPr>
          <w:lang w:val="pt-PT"/>
        </w:rPr>
        <w:t xml:space="preserve"> com a intenção referida na alínea h), ou</w:t>
      </w:r>
    </w:p>
    <w:p w14:paraId="7CDF5AF7" w14:textId="77777777" w:rsidR="007A392C" w:rsidRPr="002D2FDF" w:rsidRDefault="00531303">
      <w:pPr>
        <w:numPr>
          <w:ilvl w:val="0"/>
          <w:numId w:val="36"/>
        </w:numPr>
        <w:spacing w:line="240" w:lineRule="auto"/>
        <w:ind w:left="851" w:hanging="567"/>
        <w:jc w:val="both"/>
        <w:rPr>
          <w:szCs w:val="24"/>
          <w:lang w:val="pt-PT"/>
        </w:rPr>
      </w:pPr>
      <w:r w:rsidRPr="002D2FDF">
        <w:rPr>
          <w:lang w:val="pt-PT"/>
        </w:rPr>
        <w:t xml:space="preserve">Tiver enviado ao beneficiário uma </w:t>
      </w:r>
      <w:r w:rsidRPr="002D2FDF">
        <w:rPr>
          <w:i/>
          <w:lang w:val="pt-PT"/>
        </w:rPr>
        <w:t>notificação formal</w:t>
      </w:r>
      <w:r w:rsidRPr="002D2FDF">
        <w:rPr>
          <w:lang w:val="pt-PT"/>
        </w:rPr>
        <w:t xml:space="preserve"> convidando-o a pôr termo à participação da sua entidade afiliada por esta se encontrar numa das situações previstas nas alíneas d) a i), e o beneficiário não pedir uma alteração para pôr termo à participação da entidade e reafetar as suas funções.</w:t>
      </w:r>
    </w:p>
    <w:p w14:paraId="5D660184" w14:textId="77777777" w:rsidR="007A392C" w:rsidRPr="002D2FDF" w:rsidRDefault="00DF48E8">
      <w:pPr>
        <w:pStyle w:val="Heading4"/>
        <w:spacing w:after="240"/>
        <w:rPr>
          <w:lang w:val="pt-PT"/>
        </w:rPr>
      </w:pPr>
      <w:r w:rsidRPr="002D2FDF">
        <w:rPr>
          <w:lang w:val="pt-PT"/>
        </w:rPr>
        <w:t xml:space="preserve">II.17.2.2 </w:t>
      </w:r>
      <w:r w:rsidRPr="002D2FDF">
        <w:rPr>
          <w:lang w:val="pt-PT"/>
        </w:rPr>
        <w:tab/>
        <w:t>Procedimento de resolução</w:t>
      </w:r>
    </w:p>
    <w:p w14:paraId="2D54FDD2"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b/>
          <w:lang w:val="pt-PT"/>
        </w:rPr>
        <w:t>Passo 1 —</w:t>
      </w:r>
      <w:r w:rsidRPr="002D2FDF">
        <w:rPr>
          <w:rFonts w:ascii="Times New Roman" w:hAnsi="Times New Roman"/>
          <w:lang w:val="pt-PT"/>
        </w:rPr>
        <w:t xml:space="preserve"> Antes de resolver a convenção, a Comissão deve enviar uma </w:t>
      </w:r>
      <w:r w:rsidRPr="002D2FDF">
        <w:rPr>
          <w:rFonts w:ascii="Times New Roman" w:hAnsi="Times New Roman"/>
          <w:i/>
          <w:lang w:val="pt-PT"/>
        </w:rPr>
        <w:t>notificação formal</w:t>
      </w:r>
      <w:r w:rsidRPr="002D2FDF">
        <w:rPr>
          <w:rFonts w:ascii="Times New Roman" w:hAnsi="Times New Roman"/>
          <w:lang w:val="pt-PT"/>
        </w:rPr>
        <w:t xml:space="preserve"> ao beneficiário:</w:t>
      </w:r>
    </w:p>
    <w:p w14:paraId="309A251A" w14:textId="77777777" w:rsidR="007A392C" w:rsidRDefault="00DF48E8">
      <w:pPr>
        <w:numPr>
          <w:ilvl w:val="1"/>
          <w:numId w:val="1"/>
        </w:numPr>
        <w:spacing w:before="100" w:beforeAutospacing="1" w:after="100" w:afterAutospacing="1" w:line="240" w:lineRule="auto"/>
        <w:jc w:val="both"/>
        <w:rPr>
          <w:rFonts w:ascii="Times New Roman" w:hAnsi="Times New Roman"/>
          <w:sz w:val="24"/>
          <w:szCs w:val="24"/>
        </w:rPr>
      </w:pPr>
      <w:r>
        <w:rPr>
          <w:rFonts w:ascii="Times New Roman" w:hAnsi="Times New Roman"/>
        </w:rPr>
        <w:t>Informando-o:</w:t>
      </w:r>
    </w:p>
    <w:p w14:paraId="248E18AF" w14:textId="77777777" w:rsidR="007A392C" w:rsidRPr="002D2FDF" w:rsidRDefault="00DF48E8">
      <w:pPr>
        <w:numPr>
          <w:ilvl w:val="0"/>
          <w:numId w:val="38"/>
        </w:numPr>
        <w:spacing w:before="100" w:beforeAutospacing="1" w:after="100" w:afterAutospacing="1" w:line="240" w:lineRule="auto"/>
        <w:ind w:firstLine="840"/>
        <w:jc w:val="both"/>
        <w:rPr>
          <w:rFonts w:ascii="Times New Roman" w:hAnsi="Times New Roman"/>
          <w:sz w:val="24"/>
          <w:szCs w:val="24"/>
          <w:lang w:val="pt-PT"/>
        </w:rPr>
      </w:pPr>
      <w:r w:rsidRPr="002D2FDF">
        <w:rPr>
          <w:rFonts w:ascii="Times New Roman" w:hAnsi="Times New Roman"/>
          <w:lang w:val="pt-PT"/>
        </w:rPr>
        <w:t>da sua intenção de resolver a convenção;</w:t>
      </w:r>
    </w:p>
    <w:p w14:paraId="7A55BAED" w14:textId="77777777" w:rsidR="007A392C" w:rsidRDefault="00DF48E8">
      <w:pPr>
        <w:numPr>
          <w:ilvl w:val="0"/>
          <w:numId w:val="38"/>
        </w:numPr>
        <w:spacing w:before="100" w:beforeAutospacing="1" w:after="100" w:afterAutospacing="1" w:line="240" w:lineRule="auto"/>
        <w:ind w:firstLine="840"/>
        <w:jc w:val="both"/>
        <w:rPr>
          <w:rFonts w:ascii="Times New Roman" w:hAnsi="Times New Roman"/>
          <w:sz w:val="24"/>
          <w:szCs w:val="24"/>
        </w:rPr>
      </w:pPr>
      <w:r>
        <w:rPr>
          <w:rFonts w:ascii="Times New Roman" w:hAnsi="Times New Roman"/>
        </w:rPr>
        <w:t>dos motivos da resolução; e</w:t>
      </w:r>
    </w:p>
    <w:p w14:paraId="45F10FA2" w14:textId="77777777" w:rsidR="007A392C" w:rsidRPr="002D2FDF" w:rsidRDefault="00DF48E8">
      <w:pPr>
        <w:numPr>
          <w:ilvl w:val="1"/>
          <w:numId w:val="1"/>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Convidando-o a, no prazo de 45 dias de calendário a contar da receção da notificação formal:</w:t>
      </w:r>
    </w:p>
    <w:p w14:paraId="4BF1854E" w14:textId="77777777" w:rsidR="007A392C" w:rsidRDefault="00DF48E8">
      <w:pPr>
        <w:numPr>
          <w:ilvl w:val="0"/>
          <w:numId w:val="39"/>
        </w:numPr>
        <w:spacing w:before="100" w:beforeAutospacing="1" w:after="100" w:afterAutospacing="1" w:line="240" w:lineRule="auto"/>
        <w:ind w:left="2127" w:hanging="567"/>
        <w:jc w:val="both"/>
        <w:rPr>
          <w:rFonts w:ascii="Times New Roman" w:hAnsi="Times New Roman"/>
          <w:sz w:val="24"/>
          <w:szCs w:val="24"/>
        </w:rPr>
      </w:pPr>
      <w:r>
        <w:rPr>
          <w:rFonts w:ascii="Times New Roman" w:hAnsi="Times New Roman"/>
        </w:rPr>
        <w:t>apresentar as suas observações; e</w:t>
      </w:r>
    </w:p>
    <w:p w14:paraId="0B93D7CF" w14:textId="77777777" w:rsidR="007A392C" w:rsidRPr="002D2FDF" w:rsidRDefault="00DF48E8">
      <w:pPr>
        <w:numPr>
          <w:ilvl w:val="0"/>
          <w:numId w:val="39"/>
        </w:numPr>
        <w:spacing w:before="100" w:beforeAutospacing="1" w:line="240" w:lineRule="auto"/>
        <w:ind w:left="2126" w:hanging="567"/>
        <w:jc w:val="both"/>
        <w:rPr>
          <w:rFonts w:ascii="Times New Roman" w:hAnsi="Times New Roman"/>
          <w:sz w:val="24"/>
          <w:szCs w:val="24"/>
          <w:lang w:val="pt-PT"/>
        </w:rPr>
      </w:pPr>
      <w:r w:rsidRPr="002D2FDF">
        <w:rPr>
          <w:rFonts w:ascii="Times New Roman" w:hAnsi="Times New Roman"/>
          <w:lang w:val="pt-PT"/>
        </w:rPr>
        <w:t>no caso referido no artigo II.17.2.1, alínea b), informar a Comissão das medidas tomadas para assegurar o cumprimento das obrigações decorrentes da convenção.</w:t>
      </w:r>
    </w:p>
    <w:p w14:paraId="41CAC4D7"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b/>
          <w:lang w:val="pt-PT"/>
        </w:rPr>
        <w:t>Passo 2 —</w:t>
      </w:r>
      <w:r w:rsidRPr="002D2FDF">
        <w:rPr>
          <w:rFonts w:ascii="Times New Roman" w:hAnsi="Times New Roman"/>
          <w:lang w:val="pt-PT"/>
        </w:rPr>
        <w:t xml:space="preserve"> Se a Comissão não receber observações ou decidir aplicar o procedimento apesar das observações recebidas, deve enviar ao beneficiário uma </w:t>
      </w:r>
      <w:r w:rsidRPr="002D2FDF">
        <w:rPr>
          <w:rFonts w:ascii="Times New Roman" w:hAnsi="Times New Roman"/>
          <w:i/>
          <w:lang w:val="pt-PT"/>
        </w:rPr>
        <w:t>notificação formal</w:t>
      </w:r>
      <w:r w:rsidRPr="002D2FDF">
        <w:rPr>
          <w:rFonts w:ascii="Times New Roman" w:hAnsi="Times New Roman"/>
          <w:lang w:val="pt-PT"/>
        </w:rPr>
        <w:t xml:space="preserve"> informando-o da resolução e da data em que produz efeitos.</w:t>
      </w:r>
    </w:p>
    <w:p w14:paraId="1AEE3F21"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Caso contrário, a Comissão deve enviar uma </w:t>
      </w:r>
      <w:r w:rsidRPr="002D2FDF">
        <w:rPr>
          <w:rFonts w:ascii="Times New Roman" w:hAnsi="Times New Roman"/>
          <w:i/>
          <w:lang w:val="pt-PT"/>
        </w:rPr>
        <w:t>notificação formal</w:t>
      </w:r>
      <w:r w:rsidRPr="002D2FDF">
        <w:rPr>
          <w:rFonts w:ascii="Times New Roman" w:hAnsi="Times New Roman"/>
          <w:lang w:val="pt-PT"/>
        </w:rPr>
        <w:t xml:space="preserve"> ao beneficiário informando-o de que não pretende prosseguir com o procedimento de resolução.</w:t>
      </w:r>
    </w:p>
    <w:p w14:paraId="40F8925B" w14:textId="77777777" w:rsidR="007A392C" w:rsidRDefault="00DF48E8">
      <w:pPr>
        <w:spacing w:line="240" w:lineRule="auto"/>
        <w:jc w:val="both"/>
        <w:rPr>
          <w:rFonts w:ascii="Times New Roman" w:hAnsi="Times New Roman"/>
          <w:sz w:val="24"/>
          <w:szCs w:val="24"/>
        </w:rPr>
      </w:pPr>
      <w:r>
        <w:rPr>
          <w:rFonts w:ascii="Times New Roman" w:hAnsi="Times New Roman"/>
        </w:rPr>
        <w:t>A resolução produz efeitos:</w:t>
      </w:r>
    </w:p>
    <w:p w14:paraId="1B137DD5" w14:textId="77777777" w:rsidR="007A392C" w:rsidRPr="002D2FDF" w:rsidRDefault="00DF48E8">
      <w:pPr>
        <w:numPr>
          <w:ilvl w:val="0"/>
          <w:numId w:val="40"/>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No caso das resoluções previstas no artigo II.17.2.1, alíneas a), b) e d): no dia indicado na </w:t>
      </w:r>
      <w:r w:rsidRPr="002D2FDF">
        <w:rPr>
          <w:rFonts w:ascii="Times New Roman" w:hAnsi="Times New Roman"/>
          <w:i/>
          <w:lang w:val="pt-PT"/>
        </w:rPr>
        <w:t>notificação formal</w:t>
      </w:r>
      <w:r w:rsidRPr="002D2FDF">
        <w:rPr>
          <w:rFonts w:ascii="Times New Roman" w:hAnsi="Times New Roman"/>
          <w:lang w:val="pt-PT"/>
        </w:rPr>
        <w:t xml:space="preserve"> de resolução referida no segundo parágrafo (ou seja, no passo 2 acima);</w:t>
      </w:r>
    </w:p>
    <w:p w14:paraId="55CF26E0" w14:textId="2930BAA3" w:rsidR="007A392C" w:rsidRPr="002D2FDF" w:rsidRDefault="00DF48E8">
      <w:pPr>
        <w:numPr>
          <w:ilvl w:val="0"/>
          <w:numId w:val="40"/>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No caso das resoluções previstas no artigo II.17.2.1, alíneas c), b) e d): no dia seguinte à receção pelo beneficiário da </w:t>
      </w:r>
      <w:r w:rsidRPr="002D2FDF">
        <w:rPr>
          <w:rFonts w:ascii="Times New Roman" w:hAnsi="Times New Roman"/>
          <w:i/>
          <w:lang w:val="pt-PT"/>
        </w:rPr>
        <w:t>notificação formal</w:t>
      </w:r>
      <w:r w:rsidRPr="002D2FDF">
        <w:rPr>
          <w:rFonts w:ascii="Times New Roman" w:hAnsi="Times New Roman"/>
          <w:lang w:val="pt-PT"/>
        </w:rPr>
        <w:t xml:space="preserve"> de resolução referida no segundo parágrafo (ou seja, no passo 2 acima).</w:t>
      </w:r>
    </w:p>
    <w:p w14:paraId="071338B1" w14:textId="77777777" w:rsidR="007A392C" w:rsidRPr="002D2FDF" w:rsidRDefault="00DF48E8">
      <w:pPr>
        <w:pStyle w:val="Heading3"/>
        <w:jc w:val="both"/>
        <w:rPr>
          <w:rFonts w:ascii="Times New Roman" w:hAnsi="Times New Roman"/>
          <w:lang w:val="pt-PT"/>
        </w:rPr>
      </w:pPr>
      <w:bookmarkStart w:id="64" w:name="_Toc441250854"/>
      <w:bookmarkStart w:id="65" w:name="_Toc446535897"/>
      <w:r w:rsidRPr="002D2FDF">
        <w:rPr>
          <w:rFonts w:ascii="Times New Roman" w:hAnsi="Times New Roman"/>
          <w:lang w:val="pt-PT"/>
        </w:rPr>
        <w:t>II.17.3</w:t>
      </w:r>
      <w:r w:rsidRPr="002D2FDF">
        <w:rPr>
          <w:rFonts w:ascii="Times New Roman" w:hAnsi="Times New Roman"/>
          <w:lang w:val="pt-PT"/>
        </w:rPr>
        <w:tab/>
        <w:t>Efeitos da resolução</w:t>
      </w:r>
      <w:bookmarkEnd w:id="64"/>
      <w:bookmarkEnd w:id="65"/>
    </w:p>
    <w:p w14:paraId="0772A590" w14:textId="77777777" w:rsidR="007A392C" w:rsidRPr="002D2FDF" w:rsidRDefault="00DF48E8">
      <w:pPr>
        <w:pStyle w:val="Heading4"/>
        <w:rPr>
          <w:lang w:val="pt-PT"/>
        </w:rPr>
      </w:pPr>
      <w:r w:rsidRPr="002D2FDF">
        <w:rPr>
          <w:lang w:val="pt-PT"/>
        </w:rPr>
        <w:t>II.17.3.1 Efeitos da resolução da convenção:</w:t>
      </w:r>
    </w:p>
    <w:p w14:paraId="54462ED2"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No prazo de 60 dias de calendário a contar da data em que a resolução produz efeitos, o beneficiário deve apresentar um pedido de pagamento do saldo, como previsto no artigo I.4.4.</w:t>
      </w:r>
    </w:p>
    <w:p w14:paraId="237F2042"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Se a Comissão não receber o pedido de pagamento do saldo até à data referida, apenas os custos incluídos num relatório técnico aprovado e, se for caso disso, em demonstrações financeiras aprovadas, são reembolsados ou cobertos pela subvenção.</w:t>
      </w:r>
    </w:p>
    <w:p w14:paraId="5F054204"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Se a convenção for resolvida pela Comissão porque o beneficiário não cumpriu a sua obrigação de apresentar o pedido de pagamento, o beneficiário não pode apresentar qualquer pedido de pagamento após a resolução. Nesse caso, é aplicável o segundo parágrafo.</w:t>
      </w:r>
    </w:p>
    <w:p w14:paraId="67C27C93" w14:textId="4D74BC35"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A Comissão calcula o montante final da subvenção referida no artigo II.25 e do saldo referido no artigo I.4.5 com base nos relatórios apresentados. Devem ser tidas em conta apenas as atividades realizadas antes da data em que a resolução produz efeitos ou a data final do </w:t>
      </w:r>
      <w:r w:rsidRPr="002D2FDF">
        <w:rPr>
          <w:rFonts w:ascii="Times New Roman" w:hAnsi="Times New Roman"/>
          <w:i/>
          <w:lang w:val="pt-PT"/>
        </w:rPr>
        <w:t>período de execução</w:t>
      </w:r>
      <w:r w:rsidRPr="002D2FDF">
        <w:rPr>
          <w:rFonts w:ascii="Times New Roman" w:hAnsi="Times New Roman"/>
          <w:lang w:val="pt-PT"/>
        </w:rPr>
        <w:t>, conforme especificado no artigo I.2.2, consoante a data que ocorrer em primeiro lugar. Se a subvenção assumir a forma de reembolso dos custos efetivamente suportados, tal como previsto no artigo I.3.2, alínea a), subalínea i), apenas os custos incorridos antes da resolução produzir efeitos serão reembolsados ou cobertos pela subvenção. Os custos relacionados com contratos cuja execução tiver lugar apenas após a resolução não são tidos em conta, reembolsados ou cobertos pela subvenção.</w:t>
      </w:r>
    </w:p>
    <w:p w14:paraId="2B320D89"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A Comissão pode reduzir a subvenção em conformidade com o artigo II.25.4 no caso de: </w:t>
      </w:r>
    </w:p>
    <w:p w14:paraId="3A3E1D75" w14:textId="77777777" w:rsidR="007A392C" w:rsidRPr="002D2FDF" w:rsidRDefault="00DF48E8">
      <w:pPr>
        <w:numPr>
          <w:ilvl w:val="0"/>
          <w:numId w:val="42"/>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Resolução abusiva da convenção pelo beneficiário na aceção do artigo II.17.1; ou</w:t>
      </w:r>
    </w:p>
    <w:p w14:paraId="7BFCDF6D" w14:textId="1265118D" w:rsidR="007A392C" w:rsidRPr="002D2FDF" w:rsidRDefault="00DF48E8">
      <w:pPr>
        <w:numPr>
          <w:ilvl w:val="0"/>
          <w:numId w:val="42"/>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Resolução da convenção pela Comissão por qualquer dos motivos previstos no artigo II.17.2.1, alíneas b) a j).</w:t>
      </w:r>
    </w:p>
    <w:p w14:paraId="2F145534"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Nenhuma das partes pode solicitar uma indemnização com o fundamento de que a outra parte resolveu a convenção.</w:t>
      </w:r>
    </w:p>
    <w:p w14:paraId="3A15886E"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Após a resolução, as obrigações dos beneficiários continuam a ser aplicáveis, nomeadamente as previstas nos artigos I.4, II.6, II.8, II.9, II.14 e II.27, bem como as disposições adicionais sobre a utilização dos resultados, tal como previsto nas condições especiais.</w:t>
      </w:r>
    </w:p>
    <w:p w14:paraId="671FA3F3" w14:textId="77777777" w:rsidR="007A392C" w:rsidRPr="002D2FDF" w:rsidRDefault="00DF48E8">
      <w:pPr>
        <w:pStyle w:val="Heading2"/>
        <w:rPr>
          <w:rFonts w:ascii="Times New Roman" w:hAnsi="Times New Roman"/>
          <w:lang w:val="pt-PT"/>
        </w:rPr>
      </w:pPr>
      <w:bookmarkStart w:id="66" w:name="_Toc441250855"/>
      <w:bookmarkStart w:id="67" w:name="_Toc446535898"/>
      <w:r w:rsidRPr="002D2FDF">
        <w:rPr>
          <w:rFonts w:ascii="Times New Roman" w:hAnsi="Times New Roman"/>
          <w:lang w:val="pt-PT"/>
        </w:rPr>
        <w:t>Artigo II.18 — Legislação aplicável, resolução de litígios e decisões executórias</w:t>
      </w:r>
      <w:bookmarkEnd w:id="66"/>
      <w:bookmarkEnd w:id="67"/>
    </w:p>
    <w:p w14:paraId="43E17FC3" w14:textId="77777777" w:rsidR="007A392C" w:rsidRPr="002D2FDF" w:rsidRDefault="00DF48E8">
      <w:pPr>
        <w:spacing w:line="240" w:lineRule="auto"/>
        <w:ind w:left="851" w:hanging="851"/>
        <w:jc w:val="both"/>
        <w:rPr>
          <w:rFonts w:ascii="Times New Roman" w:hAnsi="Times New Roman"/>
          <w:sz w:val="24"/>
          <w:szCs w:val="24"/>
          <w:lang w:val="pt-PT"/>
        </w:rPr>
      </w:pPr>
      <w:r w:rsidRPr="002D2FDF">
        <w:rPr>
          <w:rFonts w:ascii="Times New Roman" w:hAnsi="Times New Roman"/>
          <w:b/>
          <w:lang w:val="pt-PT"/>
        </w:rPr>
        <w:t>II.18.1</w:t>
      </w:r>
      <w:r w:rsidRPr="002D2FDF">
        <w:rPr>
          <w:rFonts w:ascii="Times New Roman" w:hAnsi="Times New Roman"/>
          <w:lang w:val="pt-PT"/>
        </w:rPr>
        <w:tab/>
        <w:t>A convenção rege-se pelo direito da União aplicável, complementado, sempre que necessário, pelo direito belga.</w:t>
      </w:r>
    </w:p>
    <w:p w14:paraId="3CEF378D" w14:textId="77777777" w:rsidR="007A392C" w:rsidRPr="002D2FDF" w:rsidRDefault="00DF48E8">
      <w:pPr>
        <w:spacing w:line="240" w:lineRule="auto"/>
        <w:ind w:left="851" w:hanging="851"/>
        <w:jc w:val="both"/>
        <w:rPr>
          <w:rFonts w:ascii="Times New Roman" w:hAnsi="Times New Roman"/>
          <w:sz w:val="24"/>
          <w:szCs w:val="24"/>
          <w:lang w:val="pt-PT"/>
        </w:rPr>
      </w:pPr>
      <w:r w:rsidRPr="002D2FDF">
        <w:rPr>
          <w:rFonts w:ascii="Times New Roman" w:hAnsi="Times New Roman"/>
          <w:b/>
          <w:lang w:val="pt-PT"/>
        </w:rPr>
        <w:t>II.18.2</w:t>
      </w:r>
      <w:r w:rsidRPr="002D2FDF">
        <w:rPr>
          <w:rFonts w:ascii="Times New Roman" w:hAnsi="Times New Roman"/>
          <w:b/>
          <w:lang w:val="pt-PT"/>
        </w:rPr>
        <w:tab/>
      </w:r>
      <w:r w:rsidRPr="002D2FDF">
        <w:rPr>
          <w:rFonts w:ascii="Times New Roman" w:hAnsi="Times New Roman"/>
          <w:lang w:val="pt-PT"/>
        </w:rPr>
        <w:t>Em conformidade com o artigo 272.º do TFUE, o Tribunal Geral ou, em recurso, o Tribunal de Justiça da União Europeia tem competência exclusiva para dirimir qualquer litígio entre a União e um beneficiário relativo à interpretação, aplicação ou validade da convenção, caso o litígio não possa ser resolvido amigavelmente.</w:t>
      </w:r>
    </w:p>
    <w:p w14:paraId="403302A6" w14:textId="77777777" w:rsidR="007A392C" w:rsidRPr="002D2FDF" w:rsidRDefault="00DF48E8">
      <w:pPr>
        <w:spacing w:line="240" w:lineRule="auto"/>
        <w:ind w:left="851" w:hanging="851"/>
        <w:jc w:val="both"/>
        <w:rPr>
          <w:rFonts w:ascii="Times New Roman" w:hAnsi="Times New Roman"/>
          <w:sz w:val="24"/>
          <w:szCs w:val="24"/>
          <w:lang w:val="pt-PT"/>
        </w:rPr>
      </w:pPr>
      <w:r w:rsidRPr="002D2FDF">
        <w:rPr>
          <w:rFonts w:ascii="Times New Roman" w:hAnsi="Times New Roman"/>
          <w:b/>
          <w:lang w:val="pt-PT"/>
        </w:rPr>
        <w:t>II.18.3</w:t>
      </w:r>
      <w:r w:rsidRPr="002D2FDF">
        <w:rPr>
          <w:rFonts w:ascii="Times New Roman" w:hAnsi="Times New Roman"/>
          <w:b/>
          <w:lang w:val="pt-PT"/>
        </w:rPr>
        <w:tab/>
      </w:r>
      <w:r w:rsidRPr="002D2FDF">
        <w:rPr>
          <w:rFonts w:ascii="Times New Roman" w:hAnsi="Times New Roman"/>
          <w:lang w:val="pt-PT"/>
        </w:rPr>
        <w:t>Nos termos do artigo 299.º do TFUE, para efeitos de recuperação na aceção do artigo II.26, a Comissão pode adotar uma decisão executória para impor obrigações pecuniárias a pessoas que não sejam Estados.</w:t>
      </w:r>
    </w:p>
    <w:p w14:paraId="7FF97FC1" w14:textId="77777777" w:rsidR="007A392C" w:rsidRPr="002D2FDF" w:rsidRDefault="00DF48E8">
      <w:pPr>
        <w:spacing w:line="240" w:lineRule="auto"/>
        <w:ind w:left="851"/>
        <w:jc w:val="both"/>
        <w:rPr>
          <w:rFonts w:ascii="Times New Roman" w:hAnsi="Times New Roman"/>
          <w:sz w:val="24"/>
          <w:szCs w:val="24"/>
          <w:lang w:val="pt-PT"/>
        </w:rPr>
      </w:pPr>
      <w:r w:rsidRPr="002D2FDF">
        <w:rPr>
          <w:rFonts w:ascii="Times New Roman" w:hAnsi="Times New Roman"/>
          <w:lang w:val="pt-PT"/>
        </w:rPr>
        <w:t xml:space="preserve">Pode ser interposta uma </w:t>
      </w:r>
      <w:r w:rsidRPr="002D2FDF">
        <w:rPr>
          <w:rFonts w:ascii="Times New Roman" w:hAnsi="Times New Roman"/>
          <w:i/>
          <w:lang w:val="pt-PT"/>
        </w:rPr>
        <w:t>ação</w:t>
      </w:r>
      <w:r w:rsidRPr="002D2FDF">
        <w:rPr>
          <w:rFonts w:ascii="Times New Roman" w:hAnsi="Times New Roman"/>
          <w:lang w:val="pt-PT"/>
        </w:rPr>
        <w:t xml:space="preserve"> contra tal decisão junto do Tribunal Geral da União Europeia, em conformidade com o artigo 263.º do TFUE.</w:t>
      </w:r>
    </w:p>
    <w:p w14:paraId="21A70D12" w14:textId="77777777" w:rsidR="007A392C" w:rsidRPr="002D2FDF" w:rsidRDefault="007A392C">
      <w:pPr>
        <w:adjustRightInd w:val="0"/>
        <w:spacing w:line="240" w:lineRule="auto"/>
        <w:ind w:left="851"/>
        <w:jc w:val="both"/>
        <w:rPr>
          <w:rFonts w:ascii="Times New Roman" w:hAnsi="Times New Roman"/>
          <w:sz w:val="24"/>
          <w:szCs w:val="24"/>
          <w:lang w:val="pt-PT"/>
        </w:rPr>
        <w:sectPr w:rsidR="007A392C" w:rsidRPr="002D2FDF" w:rsidSect="00F02358">
          <w:headerReference w:type="even" r:id="rId9"/>
          <w:headerReference w:type="default" r:id="rId10"/>
          <w:footerReference w:type="even" r:id="rId11"/>
          <w:footerReference w:type="default" r:id="rId12"/>
          <w:headerReference w:type="first" r:id="rId13"/>
          <w:footerReference w:type="first" r:id="rId14"/>
          <w:pgSz w:w="11906" w:h="16838" w:code="9"/>
          <w:pgMar w:top="1304" w:right="1418" w:bottom="1134" w:left="1418" w:header="567" w:footer="225" w:gutter="0"/>
          <w:cols w:space="708"/>
          <w:docGrid w:linePitch="360"/>
        </w:sectPr>
      </w:pPr>
    </w:p>
    <w:p w14:paraId="20AD2C0E" w14:textId="77777777" w:rsidR="007A392C" w:rsidRPr="002D2FDF" w:rsidRDefault="00DF48E8">
      <w:pPr>
        <w:pStyle w:val="Heading1"/>
        <w:rPr>
          <w:rFonts w:ascii="Times New Roman" w:hAnsi="Times New Roman"/>
          <w:lang w:val="pt-PT"/>
        </w:rPr>
      </w:pPr>
      <w:bookmarkStart w:id="68" w:name="_Toc441250856"/>
      <w:bookmarkStart w:id="69" w:name="_Toc446535899"/>
      <w:r w:rsidRPr="002D2FDF">
        <w:rPr>
          <w:rFonts w:ascii="Times New Roman" w:hAnsi="Times New Roman"/>
          <w:lang w:val="pt-PT"/>
        </w:rPr>
        <w:t>PARTE B — DISPOSIÇÕES FINANCEIRAS</w:t>
      </w:r>
      <w:bookmarkEnd w:id="68"/>
      <w:bookmarkEnd w:id="69"/>
    </w:p>
    <w:p w14:paraId="2E7FD7A0" w14:textId="3A3D956D" w:rsidR="007A392C" w:rsidRPr="002D2FDF" w:rsidRDefault="00DF48E8">
      <w:pPr>
        <w:pStyle w:val="Heading2"/>
        <w:rPr>
          <w:rFonts w:ascii="Times New Roman" w:hAnsi="Times New Roman"/>
          <w:lang w:val="pt-PT"/>
        </w:rPr>
      </w:pPr>
      <w:bookmarkStart w:id="70" w:name="_Toc441250857"/>
      <w:bookmarkStart w:id="71" w:name="_Toc446535900"/>
      <w:r w:rsidRPr="002D2FDF">
        <w:rPr>
          <w:rFonts w:ascii="Times New Roman" w:hAnsi="Times New Roman"/>
          <w:lang w:val="pt-PT"/>
        </w:rPr>
        <w:t>Artigo II.19 — Custos elegíveis</w:t>
      </w:r>
      <w:bookmarkEnd w:id="70"/>
      <w:bookmarkEnd w:id="71"/>
    </w:p>
    <w:p w14:paraId="797FD3FD" w14:textId="2D8EF3D2" w:rsidR="007A392C" w:rsidRPr="002D2FDF" w:rsidRDefault="00DF48E8">
      <w:pPr>
        <w:pStyle w:val="Heading3"/>
        <w:jc w:val="both"/>
        <w:rPr>
          <w:rFonts w:ascii="Times New Roman" w:hAnsi="Times New Roman"/>
          <w:lang w:val="pt-PT"/>
        </w:rPr>
      </w:pPr>
      <w:bookmarkStart w:id="72" w:name="_Toc441250858"/>
      <w:bookmarkStart w:id="73" w:name="_Toc446535901"/>
      <w:r w:rsidRPr="002D2FDF">
        <w:rPr>
          <w:rFonts w:ascii="Times New Roman" w:hAnsi="Times New Roman"/>
          <w:lang w:val="pt-PT"/>
        </w:rPr>
        <w:t>II.19.1</w:t>
      </w:r>
      <w:r w:rsidRPr="002D2FDF">
        <w:rPr>
          <w:rFonts w:ascii="Times New Roman" w:hAnsi="Times New Roman"/>
          <w:lang w:val="pt-PT"/>
        </w:rPr>
        <w:tab/>
        <w:t>Condições de elegibilidade dos custos</w:t>
      </w:r>
      <w:bookmarkEnd w:id="72"/>
      <w:bookmarkEnd w:id="73"/>
    </w:p>
    <w:p w14:paraId="37F479F6"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i/>
          <w:lang w:val="pt-PT"/>
        </w:rPr>
        <w:t>Os custos elegíveis</w:t>
      </w:r>
      <w:r w:rsidRPr="002D2FDF">
        <w:rPr>
          <w:rFonts w:ascii="Times New Roman" w:hAnsi="Times New Roman"/>
          <w:lang w:val="pt-PT"/>
        </w:rPr>
        <w:t xml:space="preserve"> da </w:t>
      </w:r>
      <w:r w:rsidRPr="002D2FDF">
        <w:rPr>
          <w:rFonts w:ascii="Times New Roman" w:hAnsi="Times New Roman"/>
          <w:i/>
          <w:lang w:val="pt-PT"/>
        </w:rPr>
        <w:t>ação</w:t>
      </w:r>
      <w:r w:rsidRPr="002D2FDF">
        <w:rPr>
          <w:rFonts w:ascii="Times New Roman" w:hAnsi="Times New Roman"/>
          <w:lang w:val="pt-PT"/>
        </w:rPr>
        <w:t xml:space="preserve"> são os custos efetivamente suportados pelo beneficiário e que satisfazem os seguintes critérios:</w:t>
      </w:r>
    </w:p>
    <w:p w14:paraId="38F79F52" w14:textId="77777777" w:rsidR="007A392C" w:rsidRPr="002D2FDF" w:rsidRDefault="00DF48E8">
      <w:pPr>
        <w:numPr>
          <w:ilvl w:val="0"/>
          <w:numId w:val="43"/>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São incorridos durante o </w:t>
      </w:r>
      <w:r w:rsidRPr="002D2FDF">
        <w:rPr>
          <w:rFonts w:ascii="Times New Roman" w:hAnsi="Times New Roman"/>
          <w:i/>
          <w:lang w:val="pt-PT"/>
        </w:rPr>
        <w:t>período de execução</w:t>
      </w:r>
      <w:r w:rsidRPr="002D2FDF">
        <w:rPr>
          <w:rFonts w:ascii="Times New Roman" w:hAnsi="Times New Roman"/>
          <w:lang w:val="pt-PT"/>
        </w:rPr>
        <w:t>, excetuando-se os custos relacionados com o pedido de pagamento do saldo e com os documentos comprovativos correspondentes, referidos no artigo I.4.4;</w:t>
      </w:r>
    </w:p>
    <w:p w14:paraId="0EA7D52C" w14:textId="77777777" w:rsidR="007A392C" w:rsidRPr="002D2FDF" w:rsidRDefault="00DF48E8">
      <w:pPr>
        <w:numPr>
          <w:ilvl w:val="0"/>
          <w:numId w:val="43"/>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São indicados no orçamento previsional. O orçamento previsional consta do anexo II;</w:t>
      </w:r>
    </w:p>
    <w:p w14:paraId="57A9BE4B" w14:textId="77777777" w:rsidR="007A392C" w:rsidRPr="002D2FDF" w:rsidRDefault="00DF48E8">
      <w:pPr>
        <w:numPr>
          <w:ilvl w:val="0"/>
          <w:numId w:val="43"/>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São incorridos no âmbito da </w:t>
      </w:r>
      <w:r w:rsidRPr="002D2FDF">
        <w:rPr>
          <w:rFonts w:ascii="Times New Roman" w:hAnsi="Times New Roman"/>
          <w:i/>
          <w:lang w:val="pt-PT"/>
        </w:rPr>
        <w:t>ação</w:t>
      </w:r>
      <w:r w:rsidRPr="002D2FDF">
        <w:rPr>
          <w:rFonts w:ascii="Times New Roman" w:hAnsi="Times New Roman"/>
          <w:lang w:val="pt-PT"/>
        </w:rPr>
        <w:t xml:space="preserve"> conforme descrito no anexo II e são necessários para a sua execução;</w:t>
      </w:r>
    </w:p>
    <w:p w14:paraId="25F61DC3" w14:textId="77777777" w:rsidR="007A392C" w:rsidRPr="002D2FDF" w:rsidRDefault="00DF48E8">
      <w:pPr>
        <w:numPr>
          <w:ilvl w:val="0"/>
          <w:numId w:val="43"/>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São identificáveis e verificáveis, designadamente, estão inscritos na contabilidade do beneficiário e são determinados de acordo com as normas contabilísticas aplicáveis do país onde o beneficiário está estabelecido e com as práticas habituais do beneficiário em matéria de contabilidade analítica;</w:t>
      </w:r>
    </w:p>
    <w:p w14:paraId="6DE0857F" w14:textId="77777777" w:rsidR="007A392C" w:rsidRPr="002D2FDF" w:rsidRDefault="00DF48E8">
      <w:pPr>
        <w:numPr>
          <w:ilvl w:val="0"/>
          <w:numId w:val="43"/>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Satisfazem os requisitos da legislação fiscal e social aplicável; e</w:t>
      </w:r>
    </w:p>
    <w:p w14:paraId="596E5A29" w14:textId="77777777" w:rsidR="007A392C" w:rsidRPr="002D2FDF" w:rsidRDefault="00DF48E8">
      <w:pPr>
        <w:numPr>
          <w:ilvl w:val="0"/>
          <w:numId w:val="43"/>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São razoáveis, justificados e respeitam o princípio da boa gestão financeira, nomeadamente no que se refere à economia e à eficiência.</w:t>
      </w:r>
    </w:p>
    <w:p w14:paraId="7985CF00" w14:textId="77777777" w:rsidR="007A392C" w:rsidRPr="002D2FDF" w:rsidRDefault="00DF48E8">
      <w:pPr>
        <w:pStyle w:val="Heading3"/>
        <w:jc w:val="both"/>
        <w:rPr>
          <w:rFonts w:ascii="Times New Roman" w:hAnsi="Times New Roman"/>
          <w:lang w:val="pt-PT"/>
        </w:rPr>
      </w:pPr>
      <w:bookmarkStart w:id="74" w:name="_Toc441250859"/>
      <w:bookmarkStart w:id="75" w:name="_Toc446535902"/>
      <w:r w:rsidRPr="002D2FDF">
        <w:rPr>
          <w:rFonts w:ascii="Times New Roman" w:hAnsi="Times New Roman"/>
          <w:lang w:val="pt-PT"/>
        </w:rPr>
        <w:t>II.19.2</w:t>
      </w:r>
      <w:r w:rsidRPr="002D2FDF">
        <w:rPr>
          <w:rFonts w:ascii="Times New Roman" w:hAnsi="Times New Roman"/>
          <w:lang w:val="pt-PT"/>
        </w:rPr>
        <w:tab/>
        <w:t>Custos diretos elegíveis</w:t>
      </w:r>
      <w:bookmarkEnd w:id="74"/>
      <w:bookmarkEnd w:id="75"/>
    </w:p>
    <w:p w14:paraId="1D6339B9" w14:textId="77777777" w:rsidR="007A392C" w:rsidRPr="002D2FDF" w:rsidRDefault="00DF48E8">
      <w:pPr>
        <w:autoSpaceDE w:val="0"/>
        <w:autoSpaceDN w:val="0"/>
        <w:adjustRightInd w:val="0"/>
        <w:spacing w:line="240" w:lineRule="auto"/>
        <w:jc w:val="both"/>
        <w:rPr>
          <w:rFonts w:ascii="Times New Roman" w:hAnsi="Times New Roman"/>
          <w:sz w:val="24"/>
          <w:szCs w:val="24"/>
          <w:lang w:val="pt-PT"/>
        </w:rPr>
      </w:pPr>
      <w:r w:rsidRPr="002D2FDF">
        <w:rPr>
          <w:rFonts w:ascii="Times New Roman" w:hAnsi="Times New Roman"/>
          <w:lang w:val="pt-PT"/>
        </w:rPr>
        <w:t xml:space="preserve">Para serem elegíveis, os </w:t>
      </w:r>
      <w:r w:rsidRPr="002D2FDF">
        <w:rPr>
          <w:rFonts w:ascii="Times New Roman" w:hAnsi="Times New Roman"/>
          <w:i/>
          <w:lang w:val="pt-PT"/>
        </w:rPr>
        <w:t>custos diretos</w:t>
      </w:r>
      <w:r w:rsidRPr="002D2FDF">
        <w:rPr>
          <w:rFonts w:ascii="Times New Roman" w:hAnsi="Times New Roman"/>
          <w:lang w:val="pt-PT"/>
        </w:rPr>
        <w:t xml:space="preserve"> da </w:t>
      </w:r>
      <w:r w:rsidRPr="002D2FDF">
        <w:rPr>
          <w:rFonts w:ascii="Times New Roman" w:hAnsi="Times New Roman"/>
          <w:i/>
          <w:lang w:val="pt-PT"/>
        </w:rPr>
        <w:t>ação</w:t>
      </w:r>
      <w:r w:rsidRPr="002D2FDF">
        <w:rPr>
          <w:rFonts w:ascii="Times New Roman" w:hAnsi="Times New Roman"/>
          <w:lang w:val="pt-PT"/>
        </w:rPr>
        <w:t xml:space="preserve"> devem cumprir as condições de elegibilidade definidas no artigo II.19.1.</w:t>
      </w:r>
    </w:p>
    <w:p w14:paraId="02AA3877" w14:textId="77777777" w:rsidR="007A392C" w:rsidRPr="002D2FDF" w:rsidRDefault="00DF48E8">
      <w:pPr>
        <w:autoSpaceDE w:val="0"/>
        <w:autoSpaceDN w:val="0"/>
        <w:adjustRightInd w:val="0"/>
        <w:spacing w:line="240" w:lineRule="auto"/>
        <w:jc w:val="both"/>
        <w:rPr>
          <w:rFonts w:ascii="Times New Roman" w:hAnsi="Times New Roman"/>
          <w:sz w:val="24"/>
          <w:szCs w:val="24"/>
          <w:lang w:val="pt-PT"/>
        </w:rPr>
      </w:pPr>
      <w:r w:rsidRPr="002D2FDF">
        <w:rPr>
          <w:rFonts w:ascii="Times New Roman" w:hAnsi="Times New Roman"/>
          <w:lang w:val="pt-PT"/>
        </w:rPr>
        <w:t xml:space="preserve">Em especial, as categorias de custos seguintes constituem </w:t>
      </w:r>
      <w:r w:rsidRPr="002D2FDF">
        <w:rPr>
          <w:rFonts w:ascii="Times New Roman" w:hAnsi="Times New Roman"/>
          <w:i/>
          <w:lang w:val="pt-PT"/>
        </w:rPr>
        <w:t>custos diretos</w:t>
      </w:r>
      <w:r w:rsidRPr="002D2FDF">
        <w:rPr>
          <w:rFonts w:ascii="Times New Roman" w:hAnsi="Times New Roman"/>
          <w:lang w:val="pt-PT"/>
        </w:rPr>
        <w:t xml:space="preserve"> elegíveis, desde que satisfaçam as condições de elegibilidade definidas no artigo II.19.1, bem como as seguintes condições:</w:t>
      </w:r>
    </w:p>
    <w:p w14:paraId="5744E0EE" w14:textId="694A113D" w:rsidR="007A392C" w:rsidRPr="002D2FDF" w:rsidRDefault="002D2FDF">
      <w:pPr>
        <w:autoSpaceDE w:val="0"/>
        <w:autoSpaceDN w:val="0"/>
        <w:adjustRightInd w:val="0"/>
        <w:spacing w:line="240" w:lineRule="auto"/>
        <w:ind w:left="567" w:hanging="567"/>
        <w:jc w:val="both"/>
        <w:rPr>
          <w:rFonts w:ascii="Times New Roman" w:hAnsi="Times New Roman"/>
          <w:sz w:val="24"/>
          <w:szCs w:val="24"/>
          <w:lang w:val="pt-PT"/>
        </w:rPr>
      </w:pPr>
      <w:r>
        <w:rPr>
          <w:rFonts w:ascii="Times New Roman" w:hAnsi="Times New Roman"/>
          <w:lang w:val="pt-PT"/>
        </w:rPr>
        <w:t>(</w:t>
      </w:r>
      <w:r w:rsidR="00DF48E8" w:rsidRPr="002D2FDF">
        <w:rPr>
          <w:rFonts w:ascii="Times New Roman" w:hAnsi="Times New Roman"/>
          <w:lang w:val="pt-PT"/>
        </w:rPr>
        <w:t>a)</w:t>
      </w:r>
      <w:r w:rsidR="00DF48E8" w:rsidRPr="002D2FDF">
        <w:rPr>
          <w:rFonts w:ascii="Times New Roman" w:hAnsi="Times New Roman"/>
          <w:lang w:val="pt-PT"/>
        </w:rPr>
        <w:tab/>
        <w:t xml:space="preserve">Os custos com o pessoal vinculado ao beneficiário por contrato de trabalho ou ato de nomeação equivalente, e que esteja afetado à </w:t>
      </w:r>
      <w:r w:rsidR="00DF48E8" w:rsidRPr="002D2FDF">
        <w:rPr>
          <w:rFonts w:ascii="Times New Roman" w:hAnsi="Times New Roman"/>
          <w:i/>
          <w:lang w:val="pt-PT"/>
        </w:rPr>
        <w:t>ação</w:t>
      </w:r>
      <w:r w:rsidR="00DF48E8" w:rsidRPr="002D2FDF">
        <w:rPr>
          <w:rFonts w:ascii="Times New Roman" w:hAnsi="Times New Roman"/>
          <w:lang w:val="pt-PT"/>
        </w:rPr>
        <w:t>, desde que esses custos estejam em conformidade com as políticas habituais do beneficiário em matéria de remuneração.</w:t>
      </w:r>
    </w:p>
    <w:p w14:paraId="0875F10B" w14:textId="77777777" w:rsidR="007A392C" w:rsidRPr="002D2FDF" w:rsidRDefault="00DF48E8">
      <w:pPr>
        <w:autoSpaceDE w:val="0"/>
        <w:autoSpaceDN w:val="0"/>
        <w:adjustRightInd w:val="0"/>
        <w:spacing w:line="240" w:lineRule="auto"/>
        <w:ind w:left="567"/>
        <w:jc w:val="both"/>
        <w:rPr>
          <w:rFonts w:ascii="Times New Roman" w:hAnsi="Times New Roman"/>
          <w:sz w:val="24"/>
          <w:szCs w:val="24"/>
          <w:lang w:val="pt-PT"/>
        </w:rPr>
      </w:pPr>
      <w:r w:rsidRPr="002D2FDF">
        <w:rPr>
          <w:rFonts w:ascii="Times New Roman" w:hAnsi="Times New Roman"/>
          <w:lang w:val="pt-PT"/>
        </w:rPr>
        <w:t>Estes custos incluem os salários efetivamente pagos, acrescidos das contribuições para a segurança social e outras despesas legais incluídas na remuneração; podem ainda incluir suplementos de remuneração, incluindo pagamentos com base em contratos suplementares de qualquer natureza, desde que sejam pagos de forma consistente quando seja necessário o mesmo tipo de trabalho ou competências, independentemente da fonte de financiamento utilizada.</w:t>
      </w:r>
    </w:p>
    <w:p w14:paraId="2FACF0AA" w14:textId="77777777" w:rsidR="007A392C" w:rsidRPr="002D2FDF" w:rsidRDefault="00DF48E8">
      <w:pPr>
        <w:autoSpaceDE w:val="0"/>
        <w:autoSpaceDN w:val="0"/>
        <w:adjustRightInd w:val="0"/>
        <w:spacing w:line="240" w:lineRule="auto"/>
        <w:ind w:left="567"/>
        <w:jc w:val="both"/>
        <w:rPr>
          <w:rFonts w:ascii="Times New Roman" w:hAnsi="Times New Roman"/>
          <w:sz w:val="24"/>
          <w:szCs w:val="24"/>
          <w:lang w:val="pt-PT"/>
        </w:rPr>
      </w:pPr>
      <w:r w:rsidRPr="002D2FDF">
        <w:rPr>
          <w:rFonts w:ascii="Times New Roman" w:hAnsi="Times New Roman"/>
          <w:lang w:val="pt-PT"/>
        </w:rPr>
        <w:t>Os custos com pessoas singulares que trabalham ao abrigo de um contrato com o beneficiário que não seja um contrato de trabalho, ou destacados junto do beneficiário por terceiros contra remuneração, podem também ser incluídos nestes custos de pessoal, desde que estejam reunidas as seguintes condições:</w:t>
      </w:r>
    </w:p>
    <w:p w14:paraId="1899700B" w14:textId="5984356A" w:rsidR="007A392C" w:rsidRPr="002D2FDF" w:rsidRDefault="002D2FDF">
      <w:pPr>
        <w:autoSpaceDE w:val="0"/>
        <w:autoSpaceDN w:val="0"/>
        <w:adjustRightInd w:val="0"/>
        <w:spacing w:line="240" w:lineRule="auto"/>
        <w:ind w:left="1854" w:hanging="567"/>
        <w:jc w:val="both"/>
        <w:rPr>
          <w:rFonts w:ascii="Times New Roman" w:hAnsi="Times New Roman"/>
          <w:sz w:val="24"/>
          <w:szCs w:val="24"/>
          <w:lang w:val="pt-PT"/>
        </w:rPr>
      </w:pPr>
      <w:r>
        <w:rPr>
          <w:rFonts w:ascii="Times New Roman" w:hAnsi="Times New Roman"/>
          <w:lang w:val="pt-PT"/>
        </w:rPr>
        <w:t>(</w:t>
      </w:r>
      <w:r w:rsidR="00DF48E8" w:rsidRPr="002D2FDF">
        <w:rPr>
          <w:rFonts w:ascii="Times New Roman" w:hAnsi="Times New Roman"/>
          <w:lang w:val="pt-PT"/>
        </w:rPr>
        <w:t>i)</w:t>
      </w:r>
      <w:r w:rsidR="00DF48E8" w:rsidRPr="002D2FDF">
        <w:rPr>
          <w:rFonts w:ascii="Times New Roman" w:hAnsi="Times New Roman"/>
          <w:lang w:val="pt-PT"/>
        </w:rPr>
        <w:tab/>
        <w:t>a pessoa trabalha em condições idênticas às de um empregado (em especial no que respeita à organização do trabalho, às funções desempenhadas e ao local onde são desempenhadas);</w:t>
      </w:r>
    </w:p>
    <w:p w14:paraId="516C1802" w14:textId="4001FEB2" w:rsidR="007A392C" w:rsidRPr="002D2FDF" w:rsidRDefault="002D2FDF">
      <w:pPr>
        <w:autoSpaceDE w:val="0"/>
        <w:autoSpaceDN w:val="0"/>
        <w:adjustRightInd w:val="0"/>
        <w:spacing w:line="240" w:lineRule="auto"/>
        <w:ind w:left="1854" w:hanging="567"/>
        <w:jc w:val="both"/>
        <w:rPr>
          <w:rFonts w:ascii="Times New Roman" w:hAnsi="Times New Roman"/>
          <w:sz w:val="24"/>
          <w:szCs w:val="24"/>
          <w:lang w:val="pt-PT"/>
        </w:rPr>
      </w:pPr>
      <w:r>
        <w:rPr>
          <w:rFonts w:ascii="Times New Roman" w:hAnsi="Times New Roman"/>
          <w:lang w:val="pt-PT"/>
        </w:rPr>
        <w:t>(</w:t>
      </w:r>
      <w:r w:rsidR="00DF48E8" w:rsidRPr="002D2FDF">
        <w:rPr>
          <w:rFonts w:ascii="Times New Roman" w:hAnsi="Times New Roman"/>
          <w:lang w:val="pt-PT"/>
        </w:rPr>
        <w:t>ii)</w:t>
      </w:r>
      <w:r w:rsidR="00DF48E8" w:rsidRPr="002D2FDF">
        <w:rPr>
          <w:rFonts w:ascii="Times New Roman" w:hAnsi="Times New Roman"/>
          <w:lang w:val="pt-PT"/>
        </w:rPr>
        <w:tab/>
        <w:t>o resultado do trabalho pertence ao beneficiário (salvo acordo excecional em contrário); e</w:t>
      </w:r>
    </w:p>
    <w:p w14:paraId="3AE1DF8A" w14:textId="2794CEAE" w:rsidR="007A392C" w:rsidRPr="002D2FDF" w:rsidRDefault="002D2FDF">
      <w:pPr>
        <w:autoSpaceDE w:val="0"/>
        <w:autoSpaceDN w:val="0"/>
        <w:adjustRightInd w:val="0"/>
        <w:spacing w:line="240" w:lineRule="auto"/>
        <w:ind w:left="1854" w:hanging="567"/>
        <w:jc w:val="both"/>
        <w:rPr>
          <w:rFonts w:ascii="Times New Roman" w:hAnsi="Times New Roman"/>
          <w:sz w:val="24"/>
          <w:szCs w:val="24"/>
          <w:lang w:val="pt-PT"/>
        </w:rPr>
      </w:pPr>
      <w:r>
        <w:rPr>
          <w:rFonts w:ascii="Times New Roman" w:hAnsi="Times New Roman"/>
          <w:lang w:val="pt-PT"/>
        </w:rPr>
        <w:t>(</w:t>
      </w:r>
      <w:r w:rsidR="00DF48E8" w:rsidRPr="002D2FDF">
        <w:rPr>
          <w:rFonts w:ascii="Times New Roman" w:hAnsi="Times New Roman"/>
          <w:lang w:val="pt-PT"/>
        </w:rPr>
        <w:t xml:space="preserve">iii) </w:t>
      </w:r>
      <w:r w:rsidR="00DF48E8" w:rsidRPr="002D2FDF">
        <w:rPr>
          <w:rFonts w:ascii="Times New Roman" w:hAnsi="Times New Roman"/>
          <w:lang w:val="pt-PT"/>
        </w:rPr>
        <w:tab/>
        <w:t>os custos não diferem significativamente dos custos com o pessoal que desempenha funções idênticas ao abrigo de um contrato de trabalho celebrado com o beneficiário;</w:t>
      </w:r>
    </w:p>
    <w:p w14:paraId="064990AC" w14:textId="12C99ECA" w:rsidR="007A392C" w:rsidRPr="002D2FDF" w:rsidRDefault="002D2FDF">
      <w:pPr>
        <w:spacing w:line="240" w:lineRule="auto"/>
        <w:ind w:left="567" w:hanging="567"/>
        <w:jc w:val="both"/>
        <w:rPr>
          <w:rFonts w:ascii="Times New Roman" w:hAnsi="Times New Roman"/>
          <w:sz w:val="24"/>
          <w:szCs w:val="24"/>
          <w:lang w:val="pt-PT"/>
        </w:rPr>
      </w:pPr>
      <w:r>
        <w:rPr>
          <w:rFonts w:ascii="Times New Roman" w:hAnsi="Times New Roman"/>
          <w:lang w:val="pt-PT"/>
        </w:rPr>
        <w:t>(</w:t>
      </w:r>
      <w:r w:rsidR="00DF48E8" w:rsidRPr="002D2FDF">
        <w:rPr>
          <w:rFonts w:ascii="Times New Roman" w:hAnsi="Times New Roman"/>
          <w:lang w:val="pt-PT"/>
        </w:rPr>
        <w:t>b)</w:t>
      </w:r>
      <w:r w:rsidR="00DF48E8" w:rsidRPr="002D2FDF">
        <w:rPr>
          <w:rFonts w:ascii="Times New Roman" w:hAnsi="Times New Roman"/>
          <w:lang w:val="pt-PT"/>
        </w:rPr>
        <w:tab/>
        <w:t>As despesas de viagem e as despesas de estadia conexas, desde que estejam em consonância com as práticas habituais do beneficiário em matéria de deslocações;</w:t>
      </w:r>
    </w:p>
    <w:p w14:paraId="4F3FBA4D" w14:textId="5BDD59FD" w:rsidR="007A392C" w:rsidRPr="002D2FDF" w:rsidRDefault="002D2FDF">
      <w:pPr>
        <w:autoSpaceDE w:val="0"/>
        <w:autoSpaceDN w:val="0"/>
        <w:adjustRightInd w:val="0"/>
        <w:spacing w:line="240" w:lineRule="auto"/>
        <w:ind w:left="567" w:hanging="567"/>
        <w:jc w:val="both"/>
        <w:rPr>
          <w:rFonts w:ascii="Times New Roman" w:hAnsi="Times New Roman"/>
          <w:sz w:val="24"/>
          <w:szCs w:val="24"/>
          <w:lang w:val="pt-PT"/>
        </w:rPr>
      </w:pPr>
      <w:r>
        <w:rPr>
          <w:rFonts w:ascii="Times New Roman" w:hAnsi="Times New Roman"/>
          <w:lang w:val="pt-PT"/>
        </w:rPr>
        <w:t>(</w:t>
      </w:r>
      <w:r w:rsidR="00DF48E8" w:rsidRPr="002D2FDF">
        <w:rPr>
          <w:rFonts w:ascii="Times New Roman" w:hAnsi="Times New Roman"/>
          <w:lang w:val="pt-PT"/>
        </w:rPr>
        <w:t>c)</w:t>
      </w:r>
      <w:r w:rsidR="00DF48E8" w:rsidRPr="002D2FDF">
        <w:rPr>
          <w:rFonts w:ascii="Times New Roman" w:hAnsi="Times New Roman"/>
          <w:lang w:val="pt-PT"/>
        </w:rPr>
        <w:tab/>
        <w:t>Os custos de amortização dos equipamentos ou outros ativos (novos ou em segunda mão), conforme registados na contabilidade do beneficiário, desde que o ativo:</w:t>
      </w:r>
    </w:p>
    <w:p w14:paraId="5ADAEF11" w14:textId="77777777" w:rsidR="007A392C" w:rsidRPr="002D2FDF" w:rsidRDefault="00DF48E8">
      <w:pPr>
        <w:autoSpaceDE w:val="0"/>
        <w:autoSpaceDN w:val="0"/>
        <w:adjustRightInd w:val="0"/>
        <w:spacing w:line="240" w:lineRule="auto"/>
        <w:ind w:left="1680" w:hanging="360"/>
        <w:jc w:val="both"/>
        <w:rPr>
          <w:rFonts w:ascii="Times New Roman" w:hAnsi="Times New Roman"/>
          <w:sz w:val="24"/>
          <w:szCs w:val="24"/>
          <w:lang w:val="pt-PT"/>
        </w:rPr>
      </w:pPr>
      <w:r w:rsidRPr="002D2FDF">
        <w:rPr>
          <w:rFonts w:ascii="Times New Roman" w:hAnsi="Times New Roman"/>
          <w:lang w:val="pt-PT"/>
        </w:rPr>
        <w:t>i) seja amortizado de acordo com as normas internacionais de contabilidade e as práticas contabilísticas habituais do beneficiário; e</w:t>
      </w:r>
    </w:p>
    <w:p w14:paraId="1C1249E0" w14:textId="77777777" w:rsidR="007A392C" w:rsidRPr="002D2FDF" w:rsidRDefault="00DF48E8">
      <w:pPr>
        <w:autoSpaceDE w:val="0"/>
        <w:autoSpaceDN w:val="0"/>
        <w:adjustRightInd w:val="0"/>
        <w:spacing w:line="240" w:lineRule="auto"/>
        <w:ind w:left="1680" w:hanging="360"/>
        <w:jc w:val="both"/>
        <w:rPr>
          <w:rFonts w:ascii="Times New Roman" w:hAnsi="Times New Roman"/>
          <w:sz w:val="24"/>
          <w:szCs w:val="24"/>
          <w:lang w:val="pt-PT"/>
        </w:rPr>
      </w:pPr>
      <w:r w:rsidRPr="002D2FDF">
        <w:rPr>
          <w:rFonts w:ascii="Times New Roman" w:hAnsi="Times New Roman"/>
          <w:lang w:val="pt-PT"/>
        </w:rPr>
        <w:t xml:space="preserve">ii) tenha sido adquirido de acordo com o artigo II.10.1 se a aquisição ocorrer durante o </w:t>
      </w:r>
      <w:r w:rsidRPr="002D2FDF">
        <w:rPr>
          <w:rFonts w:ascii="Times New Roman" w:hAnsi="Times New Roman"/>
          <w:i/>
          <w:lang w:val="pt-PT"/>
        </w:rPr>
        <w:t>período de execução</w:t>
      </w:r>
      <w:r w:rsidRPr="002D2FDF">
        <w:rPr>
          <w:rFonts w:ascii="Times New Roman" w:hAnsi="Times New Roman"/>
          <w:lang w:val="pt-PT"/>
        </w:rPr>
        <w:t>;</w:t>
      </w:r>
    </w:p>
    <w:p w14:paraId="04A8E308" w14:textId="77777777" w:rsidR="007A392C" w:rsidRPr="002D2FDF" w:rsidRDefault="00DF48E8">
      <w:pPr>
        <w:autoSpaceDE w:val="0"/>
        <w:autoSpaceDN w:val="0"/>
        <w:adjustRightInd w:val="0"/>
        <w:spacing w:line="240" w:lineRule="auto"/>
        <w:ind w:left="567"/>
        <w:jc w:val="both"/>
        <w:rPr>
          <w:rFonts w:ascii="Times New Roman" w:hAnsi="Times New Roman"/>
          <w:sz w:val="24"/>
          <w:szCs w:val="24"/>
          <w:lang w:val="pt-PT"/>
        </w:rPr>
      </w:pPr>
      <w:r w:rsidRPr="002D2FDF">
        <w:rPr>
          <w:rFonts w:ascii="Times New Roman" w:hAnsi="Times New Roman"/>
          <w:lang w:val="pt-PT"/>
        </w:rPr>
        <w:t>Os custos de aluguer ou locação de equipamento ou outros bens também são elegíveis, desde que não excedam os custos de depreciação de equipamentos ou bens semelhantes e não incluam quaisquer taxas financeiras;</w:t>
      </w:r>
    </w:p>
    <w:p w14:paraId="5E1A566A" w14:textId="77777777" w:rsidR="007A392C" w:rsidRPr="002D2FDF" w:rsidRDefault="00DF48E8">
      <w:pPr>
        <w:autoSpaceDE w:val="0"/>
        <w:autoSpaceDN w:val="0"/>
        <w:adjustRightInd w:val="0"/>
        <w:spacing w:line="240" w:lineRule="auto"/>
        <w:ind w:left="567"/>
        <w:jc w:val="both"/>
        <w:rPr>
          <w:rFonts w:ascii="Times New Roman" w:hAnsi="Times New Roman"/>
          <w:sz w:val="24"/>
          <w:szCs w:val="24"/>
          <w:lang w:val="pt-PT"/>
        </w:rPr>
      </w:pPr>
      <w:r w:rsidRPr="002D2FDF">
        <w:rPr>
          <w:rFonts w:ascii="Times New Roman" w:hAnsi="Times New Roman"/>
          <w:lang w:val="pt-PT"/>
        </w:rPr>
        <w:t xml:space="preserve">Para efeitos de determinação dos custos elegíveis, só pode ser considerada a parte dos custos de amortização, aluguer ou locação financeira do equipamento correspondente ao </w:t>
      </w:r>
      <w:r w:rsidRPr="002D2FDF">
        <w:rPr>
          <w:rFonts w:ascii="Times New Roman" w:hAnsi="Times New Roman"/>
          <w:i/>
          <w:lang w:val="pt-PT"/>
        </w:rPr>
        <w:t>período de execução</w:t>
      </w:r>
      <w:r w:rsidRPr="002D2FDF">
        <w:rPr>
          <w:rFonts w:ascii="Times New Roman" w:hAnsi="Times New Roman"/>
          <w:lang w:val="pt-PT"/>
        </w:rPr>
        <w:t xml:space="preserve"> e a taxa de utilização real para os fins da </w:t>
      </w:r>
      <w:r w:rsidRPr="002D2FDF">
        <w:rPr>
          <w:rFonts w:ascii="Times New Roman" w:hAnsi="Times New Roman"/>
          <w:i/>
          <w:lang w:val="pt-PT"/>
        </w:rPr>
        <w:t>ação</w:t>
      </w:r>
      <w:r w:rsidRPr="002D2FDF">
        <w:rPr>
          <w:rFonts w:ascii="Times New Roman" w:hAnsi="Times New Roman"/>
          <w:lang w:val="pt-PT"/>
        </w:rPr>
        <w:t xml:space="preserve">. A título excecional, o custo total da aquisição de equipamento pode ser elegível nos termos das condições especiais, quando tal se justifique pela natureza da </w:t>
      </w:r>
      <w:r w:rsidRPr="002D2FDF">
        <w:rPr>
          <w:rFonts w:ascii="Times New Roman" w:hAnsi="Times New Roman"/>
          <w:i/>
          <w:lang w:val="pt-PT"/>
        </w:rPr>
        <w:t>ação</w:t>
      </w:r>
      <w:r w:rsidRPr="002D2FDF">
        <w:rPr>
          <w:rFonts w:ascii="Times New Roman" w:hAnsi="Times New Roman"/>
          <w:lang w:val="pt-PT"/>
        </w:rPr>
        <w:t xml:space="preserve"> e pelo contexto da utilização do equipamento ou ativos;</w:t>
      </w:r>
    </w:p>
    <w:p w14:paraId="3371F64D" w14:textId="55D21800" w:rsidR="007A392C" w:rsidRPr="002D2FDF" w:rsidRDefault="002D2FDF">
      <w:pPr>
        <w:autoSpaceDE w:val="0"/>
        <w:autoSpaceDN w:val="0"/>
        <w:adjustRightInd w:val="0"/>
        <w:spacing w:line="240" w:lineRule="auto"/>
        <w:ind w:left="567" w:hanging="567"/>
        <w:jc w:val="both"/>
        <w:rPr>
          <w:rFonts w:ascii="Times New Roman" w:hAnsi="Times New Roman"/>
          <w:sz w:val="24"/>
          <w:szCs w:val="24"/>
          <w:lang w:val="pt-PT"/>
        </w:rPr>
      </w:pPr>
      <w:r>
        <w:rPr>
          <w:rFonts w:ascii="Times New Roman" w:hAnsi="Times New Roman"/>
          <w:lang w:val="pt-PT"/>
        </w:rPr>
        <w:t>(</w:t>
      </w:r>
      <w:r w:rsidR="00DF48E8" w:rsidRPr="002D2FDF">
        <w:rPr>
          <w:rFonts w:ascii="Times New Roman" w:hAnsi="Times New Roman"/>
          <w:lang w:val="pt-PT"/>
        </w:rPr>
        <w:t>d)</w:t>
      </w:r>
      <w:r w:rsidR="00DF48E8" w:rsidRPr="002D2FDF">
        <w:rPr>
          <w:rFonts w:ascii="Times New Roman" w:hAnsi="Times New Roman"/>
          <w:lang w:val="pt-PT"/>
        </w:rPr>
        <w:tab/>
        <w:t>Os custos de materiais consumíveis e de fornecimentos, desde que estes:</w:t>
      </w:r>
    </w:p>
    <w:p w14:paraId="3602C0FD" w14:textId="77777777" w:rsidR="007A392C" w:rsidRPr="002D2FDF" w:rsidRDefault="00DF48E8">
      <w:pPr>
        <w:autoSpaceDE w:val="0"/>
        <w:autoSpaceDN w:val="0"/>
        <w:adjustRightInd w:val="0"/>
        <w:spacing w:line="240" w:lineRule="auto"/>
        <w:ind w:left="2007" w:hanging="567"/>
        <w:jc w:val="both"/>
        <w:rPr>
          <w:rFonts w:ascii="Times New Roman" w:hAnsi="Times New Roman"/>
          <w:sz w:val="24"/>
          <w:szCs w:val="24"/>
          <w:lang w:val="pt-PT"/>
        </w:rPr>
      </w:pPr>
      <w:r w:rsidRPr="002D2FDF">
        <w:rPr>
          <w:rFonts w:ascii="Times New Roman" w:hAnsi="Times New Roman"/>
          <w:lang w:val="pt-PT"/>
        </w:rPr>
        <w:t>i) sejam adquiridos em conformidade com o artigo II.10.1; e</w:t>
      </w:r>
    </w:p>
    <w:p w14:paraId="22B27BA9" w14:textId="77777777" w:rsidR="007A392C" w:rsidRPr="002D2FDF" w:rsidRDefault="00DF48E8">
      <w:pPr>
        <w:autoSpaceDE w:val="0"/>
        <w:autoSpaceDN w:val="0"/>
        <w:adjustRightInd w:val="0"/>
        <w:spacing w:line="240" w:lineRule="auto"/>
        <w:ind w:left="2007" w:hanging="567"/>
        <w:jc w:val="both"/>
        <w:rPr>
          <w:rFonts w:ascii="Times New Roman" w:hAnsi="Times New Roman"/>
          <w:sz w:val="24"/>
          <w:szCs w:val="24"/>
          <w:lang w:val="pt-PT"/>
        </w:rPr>
      </w:pPr>
      <w:r w:rsidRPr="002D2FDF">
        <w:rPr>
          <w:rFonts w:ascii="Times New Roman" w:hAnsi="Times New Roman"/>
          <w:lang w:val="pt-PT"/>
        </w:rPr>
        <w:t xml:space="preserve">ii) estejam diretamente afetados à </w:t>
      </w:r>
      <w:r w:rsidRPr="002D2FDF">
        <w:rPr>
          <w:rFonts w:ascii="Times New Roman" w:hAnsi="Times New Roman"/>
          <w:i/>
          <w:lang w:val="pt-PT"/>
        </w:rPr>
        <w:t>ação</w:t>
      </w:r>
      <w:r w:rsidRPr="002D2FDF">
        <w:rPr>
          <w:rFonts w:ascii="Times New Roman" w:hAnsi="Times New Roman"/>
          <w:lang w:val="pt-PT"/>
        </w:rPr>
        <w:t>;</w:t>
      </w:r>
    </w:p>
    <w:p w14:paraId="343EBC64" w14:textId="6BE29565" w:rsidR="007A392C" w:rsidRPr="002D2FDF" w:rsidRDefault="002D2FDF">
      <w:pPr>
        <w:autoSpaceDE w:val="0"/>
        <w:autoSpaceDN w:val="0"/>
        <w:adjustRightInd w:val="0"/>
        <w:spacing w:line="240" w:lineRule="auto"/>
        <w:ind w:left="567" w:hanging="567"/>
        <w:jc w:val="both"/>
        <w:rPr>
          <w:rFonts w:ascii="Times New Roman" w:hAnsi="Times New Roman"/>
          <w:sz w:val="24"/>
          <w:szCs w:val="24"/>
          <w:lang w:val="pt-PT"/>
        </w:rPr>
      </w:pPr>
      <w:r>
        <w:rPr>
          <w:rFonts w:ascii="Times New Roman" w:hAnsi="Times New Roman"/>
          <w:lang w:val="pt-PT"/>
        </w:rPr>
        <w:t>(</w:t>
      </w:r>
      <w:r w:rsidR="00DF48E8" w:rsidRPr="002D2FDF">
        <w:rPr>
          <w:rFonts w:ascii="Times New Roman" w:hAnsi="Times New Roman"/>
          <w:lang w:val="pt-PT"/>
        </w:rPr>
        <w:t>e)</w:t>
      </w:r>
      <w:r w:rsidR="00DF48E8" w:rsidRPr="002D2FDF">
        <w:rPr>
          <w:rFonts w:ascii="Times New Roman" w:hAnsi="Times New Roman"/>
          <w:lang w:val="pt-PT"/>
        </w:rPr>
        <w:tab/>
        <w:t xml:space="preserve">Os custos diretamente decorrentes do disposto na convenção (divulgação de informações, avaliação específica da </w:t>
      </w:r>
      <w:r w:rsidR="00DF48E8" w:rsidRPr="002D2FDF">
        <w:rPr>
          <w:rFonts w:ascii="Times New Roman" w:hAnsi="Times New Roman"/>
          <w:i/>
          <w:lang w:val="pt-PT"/>
        </w:rPr>
        <w:t>ação</w:t>
      </w:r>
      <w:r w:rsidR="00DF48E8" w:rsidRPr="002D2FDF">
        <w:rPr>
          <w:rFonts w:ascii="Times New Roman" w:hAnsi="Times New Roman"/>
          <w:lang w:val="pt-PT"/>
        </w:rPr>
        <w:t>, auditorias, traduções, reprodução), incluindo os custos das garantias financeiras solicitadas, desde que os serviços correspondentes sejam adquiridos conforme dispõe o artigo II.10.1;</w:t>
      </w:r>
    </w:p>
    <w:p w14:paraId="65CE126E" w14:textId="51B041BA" w:rsidR="007A392C" w:rsidRPr="002D2FDF" w:rsidRDefault="002D2FDF">
      <w:pPr>
        <w:autoSpaceDE w:val="0"/>
        <w:autoSpaceDN w:val="0"/>
        <w:adjustRightInd w:val="0"/>
        <w:spacing w:line="240" w:lineRule="auto"/>
        <w:ind w:left="567" w:hanging="567"/>
        <w:jc w:val="both"/>
        <w:rPr>
          <w:rFonts w:ascii="Times New Roman" w:hAnsi="Times New Roman"/>
          <w:sz w:val="24"/>
          <w:szCs w:val="24"/>
          <w:lang w:val="pt-PT"/>
        </w:rPr>
      </w:pPr>
      <w:r>
        <w:rPr>
          <w:rFonts w:ascii="Times New Roman" w:hAnsi="Times New Roman"/>
          <w:lang w:val="pt-PT"/>
        </w:rPr>
        <w:t>(</w:t>
      </w:r>
      <w:r w:rsidR="00DF48E8" w:rsidRPr="002D2FDF">
        <w:rPr>
          <w:rFonts w:ascii="Times New Roman" w:hAnsi="Times New Roman"/>
          <w:lang w:val="pt-PT"/>
        </w:rPr>
        <w:t>f)</w:t>
      </w:r>
      <w:r w:rsidR="00DF48E8" w:rsidRPr="002D2FDF">
        <w:rPr>
          <w:rFonts w:ascii="Times New Roman" w:hAnsi="Times New Roman"/>
          <w:lang w:val="pt-PT"/>
        </w:rPr>
        <w:tab/>
        <w:t xml:space="preserve">Os custos decorrentes de </w:t>
      </w:r>
      <w:r w:rsidR="00DF48E8" w:rsidRPr="002D2FDF">
        <w:rPr>
          <w:rFonts w:ascii="Times New Roman" w:hAnsi="Times New Roman"/>
          <w:i/>
          <w:lang w:val="pt-PT"/>
        </w:rPr>
        <w:t>subcontratos</w:t>
      </w:r>
      <w:r w:rsidR="00DF48E8" w:rsidRPr="002D2FDF">
        <w:rPr>
          <w:rFonts w:ascii="Times New Roman" w:hAnsi="Times New Roman"/>
          <w:lang w:val="pt-PT"/>
        </w:rPr>
        <w:t xml:space="preserve"> na aceção do artigo II.11, desde que as condições definidas no artigo II.11.1, alíneas a), b), c) e d) sejam satisfeitas;</w:t>
      </w:r>
    </w:p>
    <w:p w14:paraId="2DA5F874" w14:textId="71D66B29" w:rsidR="007A392C" w:rsidRPr="002D2FDF" w:rsidRDefault="002D2FDF">
      <w:pPr>
        <w:autoSpaceDE w:val="0"/>
        <w:autoSpaceDN w:val="0"/>
        <w:adjustRightInd w:val="0"/>
        <w:spacing w:line="240" w:lineRule="auto"/>
        <w:ind w:left="567" w:hanging="567"/>
        <w:jc w:val="both"/>
        <w:rPr>
          <w:rFonts w:ascii="Times New Roman" w:hAnsi="Times New Roman"/>
          <w:sz w:val="24"/>
          <w:szCs w:val="24"/>
          <w:lang w:val="pt-PT"/>
        </w:rPr>
      </w:pPr>
      <w:r>
        <w:rPr>
          <w:rFonts w:ascii="Times New Roman" w:hAnsi="Times New Roman"/>
          <w:lang w:val="pt-PT"/>
        </w:rPr>
        <w:t>(</w:t>
      </w:r>
      <w:r w:rsidR="00DF48E8" w:rsidRPr="002D2FDF">
        <w:rPr>
          <w:rFonts w:ascii="Times New Roman" w:hAnsi="Times New Roman"/>
          <w:lang w:val="pt-PT"/>
        </w:rPr>
        <w:t>g)</w:t>
      </w:r>
      <w:r w:rsidR="00DF48E8" w:rsidRPr="002D2FDF">
        <w:rPr>
          <w:rFonts w:ascii="Times New Roman" w:hAnsi="Times New Roman"/>
          <w:lang w:val="pt-PT"/>
        </w:rPr>
        <w:tab/>
        <w:t>Os custos do apoio financeiro a terceiros na aceção do artigo II.12, desde que as condições definidas nesse artigo sejam satisfeitas;</w:t>
      </w:r>
    </w:p>
    <w:p w14:paraId="53394298" w14:textId="49DA07FE" w:rsidR="007A392C" w:rsidRPr="002D2FDF" w:rsidRDefault="002D2FDF">
      <w:pPr>
        <w:autoSpaceDE w:val="0"/>
        <w:autoSpaceDN w:val="0"/>
        <w:adjustRightInd w:val="0"/>
        <w:spacing w:line="240" w:lineRule="auto"/>
        <w:ind w:left="567" w:hanging="567"/>
        <w:jc w:val="both"/>
        <w:rPr>
          <w:rFonts w:ascii="Times New Roman" w:hAnsi="Times New Roman"/>
          <w:sz w:val="24"/>
          <w:szCs w:val="24"/>
          <w:lang w:val="pt-PT"/>
        </w:rPr>
      </w:pPr>
      <w:r>
        <w:rPr>
          <w:rFonts w:ascii="Times New Roman" w:hAnsi="Times New Roman"/>
          <w:lang w:val="pt-PT"/>
        </w:rPr>
        <w:t>(</w:t>
      </w:r>
      <w:r w:rsidR="00DF48E8" w:rsidRPr="002D2FDF">
        <w:rPr>
          <w:rFonts w:ascii="Times New Roman" w:hAnsi="Times New Roman"/>
          <w:lang w:val="pt-PT"/>
        </w:rPr>
        <w:t xml:space="preserve">h) </w:t>
      </w:r>
      <w:r w:rsidR="00DF48E8" w:rsidRPr="002D2FDF">
        <w:rPr>
          <w:rFonts w:ascii="Times New Roman" w:hAnsi="Times New Roman"/>
          <w:lang w:val="pt-PT"/>
        </w:rPr>
        <w:tab/>
        <w:t xml:space="preserve">Os direitos, impostos e encargos pagos pelo beneficiário, nomeadamente o imposto sobre o valor acrescentado (IVA), desde que incluídos nos </w:t>
      </w:r>
      <w:r w:rsidR="00DF48E8" w:rsidRPr="002D2FDF">
        <w:rPr>
          <w:rFonts w:ascii="Times New Roman" w:hAnsi="Times New Roman"/>
          <w:i/>
          <w:lang w:val="pt-PT"/>
        </w:rPr>
        <w:t>custos diretos</w:t>
      </w:r>
      <w:r w:rsidR="00DF48E8" w:rsidRPr="002D2FDF">
        <w:rPr>
          <w:rFonts w:ascii="Times New Roman" w:hAnsi="Times New Roman"/>
          <w:lang w:val="pt-PT"/>
        </w:rPr>
        <w:t xml:space="preserve"> elegíveis e salvo disposição em contrário na convenção.</w:t>
      </w:r>
    </w:p>
    <w:p w14:paraId="56BCB3DC" w14:textId="77777777" w:rsidR="007A392C" w:rsidRPr="002D2FDF" w:rsidRDefault="00DF48E8">
      <w:pPr>
        <w:pStyle w:val="Heading3"/>
        <w:jc w:val="both"/>
        <w:rPr>
          <w:rFonts w:ascii="Times New Roman" w:hAnsi="Times New Roman"/>
          <w:lang w:val="pt-PT"/>
        </w:rPr>
      </w:pPr>
      <w:bookmarkStart w:id="76" w:name="_Toc441250860"/>
      <w:bookmarkStart w:id="77" w:name="_Toc446535903"/>
      <w:r w:rsidRPr="002D2FDF">
        <w:rPr>
          <w:rFonts w:ascii="Times New Roman" w:hAnsi="Times New Roman"/>
          <w:lang w:val="pt-PT"/>
        </w:rPr>
        <w:t>II.19.3</w:t>
      </w:r>
      <w:r w:rsidRPr="002D2FDF">
        <w:rPr>
          <w:rFonts w:ascii="Times New Roman" w:hAnsi="Times New Roman"/>
          <w:lang w:val="pt-PT"/>
        </w:rPr>
        <w:tab/>
        <w:t>Custos indiretos elegíveis</w:t>
      </w:r>
      <w:bookmarkEnd w:id="76"/>
      <w:bookmarkEnd w:id="77"/>
    </w:p>
    <w:p w14:paraId="204CD551"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Para serem elegíveis, os </w:t>
      </w:r>
      <w:r w:rsidRPr="002D2FDF">
        <w:rPr>
          <w:rFonts w:ascii="Times New Roman" w:hAnsi="Times New Roman"/>
          <w:i/>
          <w:lang w:val="pt-PT"/>
        </w:rPr>
        <w:t>custos indiretos</w:t>
      </w:r>
      <w:r w:rsidRPr="002D2FDF">
        <w:rPr>
          <w:rFonts w:ascii="Times New Roman" w:hAnsi="Times New Roman"/>
          <w:lang w:val="pt-PT"/>
        </w:rPr>
        <w:t xml:space="preserve"> da </w:t>
      </w:r>
      <w:r w:rsidRPr="002D2FDF">
        <w:rPr>
          <w:rFonts w:ascii="Times New Roman" w:hAnsi="Times New Roman"/>
          <w:i/>
          <w:lang w:val="pt-PT"/>
        </w:rPr>
        <w:t>ação</w:t>
      </w:r>
      <w:r w:rsidRPr="002D2FDF">
        <w:rPr>
          <w:rFonts w:ascii="Times New Roman" w:hAnsi="Times New Roman"/>
          <w:lang w:val="pt-PT"/>
        </w:rPr>
        <w:t xml:space="preserve"> devem representar uma parcela razoável das despesas gerais do beneficiário e respeitar as condições de elegibilidade definidas no artigo II.19.1.</w:t>
      </w:r>
    </w:p>
    <w:p w14:paraId="3EA04876"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Salvo disposição em contrário do artigo I.3.2, os </w:t>
      </w:r>
      <w:r w:rsidRPr="002D2FDF">
        <w:rPr>
          <w:rFonts w:ascii="Times New Roman" w:hAnsi="Times New Roman"/>
          <w:i/>
          <w:lang w:val="pt-PT"/>
        </w:rPr>
        <w:t>custos indiretos</w:t>
      </w:r>
      <w:r w:rsidRPr="002D2FDF">
        <w:rPr>
          <w:rFonts w:ascii="Times New Roman" w:hAnsi="Times New Roman"/>
          <w:lang w:val="pt-PT"/>
        </w:rPr>
        <w:t xml:space="preserve"> elegíveis devem ser declarados com base numa taxa fixa de 7 % do valor total dos </w:t>
      </w:r>
      <w:r w:rsidRPr="002D2FDF">
        <w:rPr>
          <w:rFonts w:ascii="Times New Roman" w:hAnsi="Times New Roman"/>
          <w:bCs/>
          <w:i/>
          <w:lang w:val="pt-PT"/>
        </w:rPr>
        <w:t>custos diretos</w:t>
      </w:r>
      <w:r w:rsidRPr="002D2FDF">
        <w:rPr>
          <w:rFonts w:ascii="Times New Roman" w:hAnsi="Times New Roman"/>
          <w:lang w:val="pt-PT"/>
        </w:rPr>
        <w:t xml:space="preserve"> elegíveis.</w:t>
      </w:r>
    </w:p>
    <w:p w14:paraId="2608AE03" w14:textId="77777777" w:rsidR="007A392C" w:rsidRPr="002D2FDF" w:rsidRDefault="00DF48E8">
      <w:pPr>
        <w:pStyle w:val="Heading3"/>
        <w:jc w:val="both"/>
        <w:rPr>
          <w:rFonts w:ascii="Times New Roman" w:hAnsi="Times New Roman"/>
          <w:lang w:val="pt-PT"/>
        </w:rPr>
      </w:pPr>
      <w:bookmarkStart w:id="78" w:name="_Toc441250861"/>
      <w:bookmarkStart w:id="79" w:name="_Toc446535904"/>
      <w:r w:rsidRPr="002D2FDF">
        <w:rPr>
          <w:rFonts w:ascii="Times New Roman" w:hAnsi="Times New Roman"/>
          <w:lang w:val="pt-PT"/>
        </w:rPr>
        <w:t>II.19.4</w:t>
      </w:r>
      <w:r w:rsidRPr="002D2FDF">
        <w:rPr>
          <w:rFonts w:ascii="Times New Roman" w:hAnsi="Times New Roman"/>
          <w:lang w:val="pt-PT"/>
        </w:rPr>
        <w:tab/>
        <w:t>Custos não elegíveis</w:t>
      </w:r>
      <w:bookmarkEnd w:id="78"/>
      <w:bookmarkEnd w:id="79"/>
    </w:p>
    <w:p w14:paraId="36086615"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Para além de quaisquer outros custos que não satisfaçam as condições definidas no artigo II.19.1, os seguintes custos não são considerados elegíveis:</w:t>
      </w:r>
    </w:p>
    <w:p w14:paraId="7B4107EC" w14:textId="77777777" w:rsidR="007A392C" w:rsidRPr="002D2FDF" w:rsidRDefault="00DF48E8">
      <w:pPr>
        <w:numPr>
          <w:ilvl w:val="0"/>
          <w:numId w:val="44"/>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Remuneração do capital e dos dividendos pagos pelo beneficiário;</w:t>
      </w:r>
    </w:p>
    <w:p w14:paraId="08D9CFD7" w14:textId="77777777" w:rsidR="007A392C" w:rsidRPr="002D2FDF" w:rsidRDefault="00DF48E8">
      <w:pPr>
        <w:numPr>
          <w:ilvl w:val="0"/>
          <w:numId w:val="44"/>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Dívidas e encargos da dívida;</w:t>
      </w:r>
    </w:p>
    <w:p w14:paraId="27071C2F" w14:textId="77777777" w:rsidR="007A392C" w:rsidRPr="002D2FDF" w:rsidRDefault="00DF48E8">
      <w:pPr>
        <w:numPr>
          <w:ilvl w:val="0"/>
          <w:numId w:val="44"/>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Provisões para perdas ou dívidas;</w:t>
      </w:r>
    </w:p>
    <w:p w14:paraId="56D10FF0" w14:textId="77777777" w:rsidR="007A392C" w:rsidRDefault="00DF48E8">
      <w:pPr>
        <w:numPr>
          <w:ilvl w:val="0"/>
          <w:numId w:val="44"/>
        </w:numPr>
        <w:spacing w:before="100" w:beforeAutospacing="1" w:after="100" w:afterAutospacing="1" w:line="240" w:lineRule="auto"/>
        <w:jc w:val="both"/>
        <w:rPr>
          <w:rFonts w:ascii="Times New Roman" w:hAnsi="Times New Roman"/>
          <w:sz w:val="24"/>
          <w:szCs w:val="24"/>
        </w:rPr>
      </w:pPr>
      <w:r>
        <w:rPr>
          <w:rFonts w:ascii="Times New Roman" w:hAnsi="Times New Roman"/>
        </w:rPr>
        <w:t>Juros devedores;</w:t>
      </w:r>
    </w:p>
    <w:p w14:paraId="2D5D545D" w14:textId="77777777" w:rsidR="007A392C" w:rsidRDefault="00DF48E8">
      <w:pPr>
        <w:numPr>
          <w:ilvl w:val="0"/>
          <w:numId w:val="44"/>
        </w:numPr>
        <w:spacing w:before="100" w:beforeAutospacing="1" w:after="100" w:afterAutospacing="1" w:line="240" w:lineRule="auto"/>
        <w:jc w:val="both"/>
        <w:rPr>
          <w:rFonts w:ascii="Times New Roman" w:hAnsi="Times New Roman"/>
          <w:sz w:val="24"/>
          <w:szCs w:val="24"/>
        </w:rPr>
      </w:pPr>
      <w:r>
        <w:rPr>
          <w:rFonts w:ascii="Times New Roman" w:hAnsi="Times New Roman"/>
        </w:rPr>
        <w:t>Créditos duvidosos;</w:t>
      </w:r>
    </w:p>
    <w:p w14:paraId="707A3605" w14:textId="77777777" w:rsidR="007A392C" w:rsidRDefault="00DF48E8">
      <w:pPr>
        <w:numPr>
          <w:ilvl w:val="0"/>
          <w:numId w:val="44"/>
        </w:numPr>
        <w:spacing w:before="100" w:beforeAutospacing="1" w:after="100" w:afterAutospacing="1" w:line="240" w:lineRule="auto"/>
        <w:jc w:val="both"/>
        <w:rPr>
          <w:rFonts w:ascii="Times New Roman" w:hAnsi="Times New Roman"/>
          <w:sz w:val="24"/>
          <w:szCs w:val="24"/>
        </w:rPr>
      </w:pPr>
      <w:r>
        <w:rPr>
          <w:rFonts w:ascii="Times New Roman" w:hAnsi="Times New Roman"/>
        </w:rPr>
        <w:t>Perdas cambiais;</w:t>
      </w:r>
    </w:p>
    <w:p w14:paraId="1B774D89" w14:textId="77777777" w:rsidR="007A392C" w:rsidRPr="002D2FDF" w:rsidRDefault="00DF48E8">
      <w:pPr>
        <w:numPr>
          <w:ilvl w:val="0"/>
          <w:numId w:val="44"/>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Custos de transferências da Comissão cobrados pelo banco do beneficiário;</w:t>
      </w:r>
    </w:p>
    <w:p w14:paraId="4AE65404" w14:textId="77777777" w:rsidR="007A392C" w:rsidRPr="002D2FDF" w:rsidRDefault="00DF48E8">
      <w:pPr>
        <w:numPr>
          <w:ilvl w:val="0"/>
          <w:numId w:val="44"/>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Custos declarados pelo beneficiário no quadro de outra ação que beneficie de uma subvenção financiada pelo orçamento da União. Nestas subvenções incluem-se as concedidas por um Estado-Membro e financiadas pelo orçamento da União e as concedidas por outras entidades que não a Comissão para a execução do orçamento da UE. Em especial, se o beneficiário receber uma subvenção de funcionamento financiada pelo orçamento da UE ou da Euratom, não pode declarar custos indiretos relativamente ao(s) período(s) cobertos pela subvenção de funcionamento, salvo se demonstrar que essa subvenção de funcionamento não cobre alguns custos da ação;</w:t>
      </w:r>
    </w:p>
    <w:p w14:paraId="0131EFBB" w14:textId="77777777" w:rsidR="007A392C" w:rsidRPr="002D2FDF" w:rsidRDefault="00DF48E8">
      <w:pPr>
        <w:numPr>
          <w:ilvl w:val="0"/>
          <w:numId w:val="44"/>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Contribuições em espécie de terceiros;</w:t>
      </w:r>
    </w:p>
    <w:p w14:paraId="73C676FA" w14:textId="77777777" w:rsidR="007A392C" w:rsidRDefault="00DF48E8">
      <w:pPr>
        <w:numPr>
          <w:ilvl w:val="0"/>
          <w:numId w:val="44"/>
        </w:numPr>
        <w:spacing w:before="100" w:beforeAutospacing="1" w:after="100" w:afterAutospacing="1" w:line="240" w:lineRule="auto"/>
        <w:jc w:val="both"/>
        <w:rPr>
          <w:rFonts w:ascii="Times New Roman" w:hAnsi="Times New Roman"/>
          <w:sz w:val="24"/>
          <w:szCs w:val="24"/>
        </w:rPr>
      </w:pPr>
      <w:r>
        <w:rPr>
          <w:rFonts w:ascii="Times New Roman" w:hAnsi="Times New Roman"/>
        </w:rPr>
        <w:t>Despesas excessivas ou imprudentes;</w:t>
      </w:r>
    </w:p>
    <w:p w14:paraId="1FCF4ECF" w14:textId="77777777" w:rsidR="007A392C" w:rsidRDefault="00DF48E8">
      <w:pPr>
        <w:numPr>
          <w:ilvl w:val="0"/>
          <w:numId w:val="44"/>
        </w:numPr>
        <w:spacing w:before="100" w:beforeAutospacing="1" w:after="100" w:afterAutospacing="1" w:line="240" w:lineRule="auto"/>
        <w:jc w:val="both"/>
        <w:rPr>
          <w:rFonts w:ascii="Times New Roman" w:hAnsi="Times New Roman"/>
          <w:sz w:val="24"/>
          <w:szCs w:val="24"/>
        </w:rPr>
      </w:pPr>
      <w:r>
        <w:rPr>
          <w:rFonts w:ascii="Times New Roman" w:hAnsi="Times New Roman"/>
        </w:rPr>
        <w:t>IVA dedutível.</w:t>
      </w:r>
    </w:p>
    <w:p w14:paraId="6F0F0F1F" w14:textId="77777777" w:rsidR="007A392C" w:rsidRPr="002D2FDF" w:rsidRDefault="00DF48E8">
      <w:pPr>
        <w:pStyle w:val="Heading2"/>
        <w:rPr>
          <w:rFonts w:ascii="Times New Roman" w:hAnsi="Times New Roman"/>
          <w:lang w:val="pt-PT"/>
        </w:rPr>
      </w:pPr>
      <w:bookmarkStart w:id="80" w:name="_Toc441250862"/>
      <w:bookmarkStart w:id="81" w:name="_Toc446535905"/>
      <w:r w:rsidRPr="002D2FDF">
        <w:rPr>
          <w:rFonts w:ascii="Times New Roman" w:hAnsi="Times New Roman"/>
          <w:lang w:val="pt-PT"/>
        </w:rPr>
        <w:t>Artigo II.20 — Identificabilidade e verificabilidade dos montantes declarados</w:t>
      </w:r>
      <w:bookmarkEnd w:id="80"/>
      <w:bookmarkEnd w:id="81"/>
    </w:p>
    <w:p w14:paraId="2FC413BF" w14:textId="273EFA73" w:rsidR="007A392C" w:rsidRPr="002D2FDF" w:rsidRDefault="00DF48E8">
      <w:pPr>
        <w:pStyle w:val="Heading3"/>
        <w:jc w:val="both"/>
        <w:rPr>
          <w:rFonts w:ascii="Times New Roman" w:hAnsi="Times New Roman"/>
          <w:lang w:val="pt-PT"/>
        </w:rPr>
      </w:pPr>
      <w:bookmarkStart w:id="82" w:name="_Toc441250863"/>
      <w:bookmarkStart w:id="83" w:name="_Toc446535906"/>
      <w:r w:rsidRPr="002D2FDF">
        <w:rPr>
          <w:rFonts w:ascii="Times New Roman" w:hAnsi="Times New Roman"/>
          <w:lang w:val="pt-PT"/>
        </w:rPr>
        <w:t>II.20.1 Declaração dos custos e contribuições</w:t>
      </w:r>
      <w:bookmarkEnd w:id="82"/>
      <w:bookmarkEnd w:id="83"/>
    </w:p>
    <w:p w14:paraId="1036470E"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O beneficiário deve declarar como custos elegíveis ou como contribuição solicitada:</w:t>
      </w:r>
    </w:p>
    <w:p w14:paraId="0D508E33" w14:textId="77777777" w:rsidR="007A392C" w:rsidRPr="002D2FDF" w:rsidRDefault="00DF48E8">
      <w:pPr>
        <w:numPr>
          <w:ilvl w:val="0"/>
          <w:numId w:val="46"/>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No que respeita aos custos</w:t>
      </w:r>
      <w:r w:rsidRPr="002D2FDF">
        <w:rPr>
          <w:rFonts w:ascii="Times New Roman" w:hAnsi="Times New Roman"/>
          <w:i/>
          <w:lang w:val="pt-PT"/>
        </w:rPr>
        <w:t xml:space="preserve"> </w:t>
      </w:r>
      <w:r w:rsidRPr="002D2FDF">
        <w:rPr>
          <w:rFonts w:ascii="Times New Roman" w:hAnsi="Times New Roman"/>
          <w:lang w:val="pt-PT"/>
        </w:rPr>
        <w:t xml:space="preserve">reais: os custos em que efetivamente incorreu para efeitos da </w:t>
      </w:r>
      <w:r w:rsidRPr="002D2FDF">
        <w:rPr>
          <w:rFonts w:ascii="Times New Roman" w:hAnsi="Times New Roman"/>
          <w:i/>
          <w:lang w:val="pt-PT"/>
        </w:rPr>
        <w:t>ação</w:t>
      </w:r>
      <w:r w:rsidRPr="002D2FDF">
        <w:rPr>
          <w:rFonts w:ascii="Times New Roman" w:hAnsi="Times New Roman"/>
          <w:lang w:val="pt-PT"/>
        </w:rPr>
        <w:t>;</w:t>
      </w:r>
    </w:p>
    <w:p w14:paraId="666BF126" w14:textId="4A5F0EF6" w:rsidR="007A392C" w:rsidRPr="002D2FDF" w:rsidRDefault="00DF48E8">
      <w:pPr>
        <w:numPr>
          <w:ilvl w:val="0"/>
          <w:numId w:val="46"/>
        </w:numPr>
        <w:spacing w:before="100" w:beforeAutospacing="1" w:after="100" w:afterAutospacing="1" w:line="240" w:lineRule="auto"/>
        <w:jc w:val="both"/>
        <w:rPr>
          <w:rFonts w:ascii="Times New Roman" w:hAnsi="Times New Roman"/>
          <w:b/>
          <w:sz w:val="24"/>
          <w:szCs w:val="24"/>
          <w:lang w:val="pt-PT"/>
        </w:rPr>
      </w:pPr>
      <w:r w:rsidRPr="002D2FDF">
        <w:rPr>
          <w:rFonts w:ascii="Times New Roman" w:hAnsi="Times New Roman"/>
          <w:lang w:val="pt-PT"/>
        </w:rPr>
        <w:t>No que respeita aos custos unitários ou contribuições unitárias: o montante obtido pela multiplicação do valor por unidade especificado no artigo I.3.2, alínea a), subalínea ii), ou alínea b), pelo número real de unidades utilizadas ou produzidas;</w:t>
      </w:r>
    </w:p>
    <w:p w14:paraId="560F289A" w14:textId="0C94B92C" w:rsidR="007A392C" w:rsidRPr="002D2FDF" w:rsidRDefault="00DF48E8">
      <w:pPr>
        <w:numPr>
          <w:ilvl w:val="0"/>
          <w:numId w:val="46"/>
        </w:numPr>
        <w:spacing w:before="100" w:beforeAutospacing="1" w:after="100" w:afterAutospacing="1" w:line="240" w:lineRule="auto"/>
        <w:jc w:val="both"/>
        <w:rPr>
          <w:rFonts w:ascii="Times New Roman" w:hAnsi="Times New Roman"/>
          <w:bCs/>
          <w:sz w:val="24"/>
          <w:szCs w:val="24"/>
          <w:lang w:val="pt-PT"/>
        </w:rPr>
      </w:pPr>
      <w:r w:rsidRPr="002D2FDF">
        <w:rPr>
          <w:rFonts w:ascii="Times New Roman" w:hAnsi="Times New Roman"/>
          <w:lang w:val="pt-PT"/>
        </w:rPr>
        <w:t xml:space="preserve">No que respeita aos custos de montante fixo ou contribuições de montante fixo: o montante global especificado no artigo I.3.2, alínea a), subalínea iii), ou alínea c), se </w:t>
      </w:r>
      <w:r w:rsidRPr="002D2FDF">
        <w:rPr>
          <w:rFonts w:ascii="Times New Roman" w:hAnsi="Times New Roman"/>
          <w:bCs/>
          <w:lang w:val="pt-PT"/>
        </w:rPr>
        <w:t xml:space="preserve">as correspondentes tarefas ou parte da </w:t>
      </w:r>
      <w:r w:rsidRPr="002D2FDF">
        <w:rPr>
          <w:rFonts w:ascii="Times New Roman" w:hAnsi="Times New Roman"/>
          <w:i/>
          <w:lang w:val="pt-PT"/>
        </w:rPr>
        <w:t>ação</w:t>
      </w:r>
      <w:r w:rsidRPr="002D2FDF">
        <w:rPr>
          <w:rFonts w:ascii="Times New Roman" w:hAnsi="Times New Roman"/>
          <w:bCs/>
          <w:lang w:val="pt-PT"/>
        </w:rPr>
        <w:t>, conforme descritas no anexo II</w:t>
      </w:r>
      <w:r w:rsidRPr="002D2FDF">
        <w:rPr>
          <w:rFonts w:ascii="Times New Roman" w:hAnsi="Times New Roman"/>
          <w:lang w:val="pt-PT"/>
        </w:rPr>
        <w:t>, foram executadas corretamente;</w:t>
      </w:r>
    </w:p>
    <w:p w14:paraId="1E958812" w14:textId="4B82C8C5" w:rsidR="007A392C" w:rsidRPr="002D2FDF" w:rsidRDefault="00DF48E8">
      <w:pPr>
        <w:numPr>
          <w:ilvl w:val="0"/>
          <w:numId w:val="46"/>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No que respeita aos custos de taxa fixa ou contribuições de taxa fixa: o montante obtido aplicando a taxa fixa especificada no artigo I.3.2, alínea a), subalínea iv), ou alínea d);</w:t>
      </w:r>
    </w:p>
    <w:p w14:paraId="735CFE56" w14:textId="321149ED" w:rsidR="007A392C" w:rsidRPr="002D2FDF" w:rsidRDefault="00E94DD6">
      <w:pPr>
        <w:numPr>
          <w:ilvl w:val="0"/>
          <w:numId w:val="46"/>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No que respeita ao financiamento não associado aos custos: o montante global especificado no artigo I.3.2, alínea e), se os resultados ou as condições correspondentes descritos no anexo II tiverem sido corretamente alcançados ou cumpridos;</w:t>
      </w:r>
    </w:p>
    <w:p w14:paraId="6991D222" w14:textId="77777777" w:rsidR="007A392C" w:rsidRPr="002D2FDF" w:rsidRDefault="00DF48E8">
      <w:pPr>
        <w:numPr>
          <w:ilvl w:val="0"/>
          <w:numId w:val="46"/>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No que respeita aos custos unitários declarados com base nas práticas habituais do beneficiário em matéria de contabilidade analítica: o montante obtido pela multiplicação do valor por unidade com base nas práticas habituais do beneficiário em matéria de contabilidade analítica, pelo número real de unidades utilizadas ou produzidas;</w:t>
      </w:r>
    </w:p>
    <w:p w14:paraId="1A375A04" w14:textId="77777777" w:rsidR="007A392C" w:rsidRPr="002D2FDF" w:rsidRDefault="00DF48E8">
      <w:pPr>
        <w:numPr>
          <w:ilvl w:val="0"/>
          <w:numId w:val="46"/>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No que respeita aos custos de montante fixo declarados com base nas práticas habituais do beneficiário em matéria de contabilidade analítica: o montante global calculado com base nas práticas do beneficiário habituais em matéria de contabilidade analítica, se as correspondentes tarefas ou parte da </w:t>
      </w:r>
      <w:r w:rsidRPr="002D2FDF">
        <w:rPr>
          <w:rFonts w:ascii="Times New Roman" w:hAnsi="Times New Roman"/>
          <w:i/>
          <w:lang w:val="pt-PT"/>
        </w:rPr>
        <w:t>ação</w:t>
      </w:r>
      <w:r w:rsidRPr="002D2FDF">
        <w:rPr>
          <w:rFonts w:ascii="Times New Roman" w:hAnsi="Times New Roman"/>
          <w:lang w:val="pt-PT"/>
        </w:rPr>
        <w:t xml:space="preserve"> foram executadas corretamente;</w:t>
      </w:r>
    </w:p>
    <w:p w14:paraId="58850200" w14:textId="456415D5" w:rsidR="007A392C" w:rsidRPr="002D2FDF" w:rsidRDefault="00DF48E8">
      <w:pPr>
        <w:numPr>
          <w:ilvl w:val="0"/>
          <w:numId w:val="46"/>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No que respeita aos custos de taxa fixa declarados com base nas práticas habituais do beneficiário em matéria de contabilidade analítica: o montante obtido aplicando a taxa fixa calculada de acordo com as práticas habituais do beneficiário em matéria de contabilidade analítica.</w:t>
      </w:r>
    </w:p>
    <w:p w14:paraId="193FBF64" w14:textId="32BBED38" w:rsidR="007A392C" w:rsidRPr="002D2FDF" w:rsidRDefault="00E94DD6">
      <w:pPr>
        <w:spacing w:before="240" w:line="240" w:lineRule="auto"/>
        <w:jc w:val="both"/>
        <w:rPr>
          <w:rFonts w:ascii="Times New Roman" w:hAnsi="Times New Roman"/>
          <w:sz w:val="24"/>
          <w:szCs w:val="24"/>
          <w:lang w:val="pt-PT"/>
        </w:rPr>
      </w:pPr>
      <w:r w:rsidRPr="002D2FDF">
        <w:rPr>
          <w:rFonts w:ascii="Times New Roman" w:hAnsi="Times New Roman"/>
          <w:lang w:val="pt-PT"/>
        </w:rPr>
        <w:t>Para as formas de subvenção a que se referem as alíneas b), c), d), f), g) e h), os montantes declarados devem estar em conformidade com as condições especificadas no artigo II.19.1, alíneas a) e b).</w:t>
      </w:r>
    </w:p>
    <w:p w14:paraId="2BA661C0" w14:textId="3D9E10C8" w:rsidR="007A392C" w:rsidRPr="002D2FDF" w:rsidRDefault="00E94DD6">
      <w:pPr>
        <w:spacing w:before="100" w:beforeAutospacing="1" w:after="100" w:afterAutospacing="1" w:line="240" w:lineRule="auto"/>
        <w:jc w:val="both"/>
        <w:rPr>
          <w:rFonts w:ascii="Times New Roman" w:hAnsi="Times New Roman"/>
          <w:sz w:val="24"/>
          <w:szCs w:val="24"/>
          <w:lang w:val="pt-PT"/>
        </w:rPr>
      </w:pPr>
      <w:r w:rsidRPr="002D2FDF">
        <w:rPr>
          <w:rStyle w:val="CommentReference"/>
          <w:lang w:val="pt-PT"/>
        </w:rPr>
        <w:t xml:space="preserve"> </w:t>
      </w:r>
    </w:p>
    <w:p w14:paraId="01AA9CD6" w14:textId="77777777" w:rsidR="007A392C" w:rsidRPr="002D2FDF" w:rsidRDefault="00DF48E8">
      <w:pPr>
        <w:pStyle w:val="Heading3"/>
        <w:jc w:val="both"/>
        <w:rPr>
          <w:rFonts w:ascii="Times New Roman" w:hAnsi="Times New Roman"/>
          <w:lang w:val="pt-PT"/>
        </w:rPr>
      </w:pPr>
      <w:bookmarkStart w:id="84" w:name="_Toc441250864"/>
      <w:bookmarkStart w:id="85" w:name="_Toc446535907"/>
      <w:r w:rsidRPr="002D2FDF">
        <w:rPr>
          <w:rFonts w:ascii="Times New Roman" w:hAnsi="Times New Roman"/>
          <w:lang w:val="pt-PT"/>
        </w:rPr>
        <w:t>II.20.2</w:t>
      </w:r>
      <w:r w:rsidRPr="002D2FDF">
        <w:rPr>
          <w:rFonts w:ascii="Times New Roman" w:hAnsi="Times New Roman"/>
          <w:lang w:val="pt-PT"/>
        </w:rPr>
        <w:tab/>
        <w:t>Registos e outros documentos comprovativos dos custos e das contribuições declarados</w:t>
      </w:r>
      <w:bookmarkEnd w:id="84"/>
      <w:bookmarkEnd w:id="85"/>
    </w:p>
    <w:p w14:paraId="094F6143"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O beneficiário deve apresentar os seguintes elementos, caso lhe sejam solicitados no contexto das verificações e auditorias descritas no artigo II.27:</w:t>
      </w:r>
    </w:p>
    <w:p w14:paraId="4552FE90" w14:textId="77777777" w:rsidR="007A392C" w:rsidRPr="002D2FDF" w:rsidRDefault="00DF48E8">
      <w:pPr>
        <w:numPr>
          <w:ilvl w:val="0"/>
          <w:numId w:val="47"/>
        </w:numPr>
        <w:spacing w:before="100" w:beforeAutospacing="1" w:after="100" w:afterAutospacing="1" w:line="240" w:lineRule="auto"/>
        <w:jc w:val="both"/>
        <w:rPr>
          <w:rFonts w:ascii="Times New Roman" w:hAnsi="Times New Roman"/>
          <w:b/>
          <w:sz w:val="24"/>
          <w:szCs w:val="24"/>
          <w:lang w:val="pt-PT"/>
        </w:rPr>
      </w:pPr>
      <w:r w:rsidRPr="002D2FDF">
        <w:rPr>
          <w:rFonts w:ascii="Times New Roman" w:hAnsi="Times New Roman"/>
          <w:lang w:val="pt-PT"/>
        </w:rPr>
        <w:t>No que respeita aos custos</w:t>
      </w:r>
      <w:r w:rsidRPr="002D2FDF">
        <w:rPr>
          <w:rFonts w:ascii="Times New Roman" w:hAnsi="Times New Roman"/>
          <w:i/>
          <w:lang w:val="pt-PT"/>
        </w:rPr>
        <w:t xml:space="preserve"> </w:t>
      </w:r>
      <w:r w:rsidRPr="002D2FDF">
        <w:rPr>
          <w:rFonts w:ascii="Times New Roman" w:hAnsi="Times New Roman"/>
          <w:lang w:val="pt-PT"/>
        </w:rPr>
        <w:t>reais: documentos adequados para comprovar os custos declarados, tais como contratos, faturas e registos contabilísticos.</w:t>
      </w:r>
    </w:p>
    <w:p w14:paraId="1BFCC621" w14:textId="77777777" w:rsidR="007A392C" w:rsidRPr="002D2FDF" w:rsidRDefault="00DF48E8">
      <w:pPr>
        <w:spacing w:line="240" w:lineRule="auto"/>
        <w:ind w:left="709"/>
        <w:jc w:val="both"/>
        <w:rPr>
          <w:rFonts w:ascii="Times New Roman" w:hAnsi="Times New Roman"/>
          <w:sz w:val="24"/>
          <w:szCs w:val="24"/>
          <w:lang w:val="pt-PT"/>
        </w:rPr>
      </w:pPr>
      <w:r w:rsidRPr="002D2FDF">
        <w:rPr>
          <w:rFonts w:ascii="Times New Roman" w:hAnsi="Times New Roman"/>
          <w:lang w:val="pt-PT"/>
        </w:rPr>
        <w:t>Além disso, os procedimentos habituais de contabilidade e controlo interno do beneficiário devem permitir a conciliação direta dos montantes declarados com os montantes registados nas suas demonstrações contabilísticas, bem como com os montantes indicados nos documentos comprovativos;</w:t>
      </w:r>
    </w:p>
    <w:p w14:paraId="4B4992CA" w14:textId="77777777" w:rsidR="007A392C" w:rsidRPr="002D2FDF" w:rsidRDefault="00DF48E8">
      <w:pPr>
        <w:numPr>
          <w:ilvl w:val="0"/>
          <w:numId w:val="47"/>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No que respeita aos custos unitários ou às contribuições unitárias: documentos adequados para comprovar o número de unidades declaradas.</w:t>
      </w:r>
    </w:p>
    <w:p w14:paraId="60912F11" w14:textId="77777777" w:rsidR="007A392C" w:rsidRPr="002D2FDF" w:rsidRDefault="00DF48E8">
      <w:pPr>
        <w:spacing w:line="240" w:lineRule="auto"/>
        <w:ind w:left="709"/>
        <w:jc w:val="both"/>
        <w:rPr>
          <w:rFonts w:ascii="Times New Roman" w:hAnsi="Times New Roman"/>
          <w:sz w:val="24"/>
          <w:szCs w:val="24"/>
          <w:lang w:val="pt-PT"/>
        </w:rPr>
      </w:pPr>
      <w:r w:rsidRPr="002D2FDF">
        <w:rPr>
          <w:rFonts w:ascii="Times New Roman" w:hAnsi="Times New Roman"/>
          <w:lang w:val="pt-PT"/>
        </w:rPr>
        <w:t>O beneficiário não tem de identificar os custos elegíveis efetivos cobertos nem apresentar documentos comprovativos, nomeadamente demonstrações contabilísticas, para comprovar o montante declarado por unidade;</w:t>
      </w:r>
    </w:p>
    <w:p w14:paraId="3CC7774B" w14:textId="77777777" w:rsidR="007A392C" w:rsidRPr="002D2FDF" w:rsidRDefault="00DF48E8">
      <w:pPr>
        <w:numPr>
          <w:ilvl w:val="0"/>
          <w:numId w:val="47"/>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No que respeita aos custos de montante fixo ou contribuições de montante fixo: documentos adequados para comprovar que a </w:t>
      </w:r>
      <w:r w:rsidRPr="002D2FDF">
        <w:rPr>
          <w:rFonts w:ascii="Times New Roman" w:hAnsi="Times New Roman"/>
          <w:i/>
          <w:lang w:val="pt-PT"/>
        </w:rPr>
        <w:t>ação</w:t>
      </w:r>
      <w:r w:rsidRPr="002D2FDF">
        <w:rPr>
          <w:rFonts w:ascii="Times New Roman" w:hAnsi="Times New Roman"/>
          <w:lang w:val="pt-PT"/>
        </w:rPr>
        <w:t xml:space="preserve"> foi corretamente executada.</w:t>
      </w:r>
    </w:p>
    <w:p w14:paraId="4B384319" w14:textId="77777777" w:rsidR="007A392C" w:rsidRPr="002D2FDF" w:rsidRDefault="00DF48E8">
      <w:pPr>
        <w:spacing w:line="240" w:lineRule="auto"/>
        <w:ind w:left="709"/>
        <w:jc w:val="both"/>
        <w:rPr>
          <w:rFonts w:ascii="Times New Roman" w:hAnsi="Times New Roman"/>
          <w:sz w:val="24"/>
          <w:szCs w:val="24"/>
          <w:lang w:val="pt-PT"/>
        </w:rPr>
      </w:pPr>
      <w:r w:rsidRPr="002D2FDF">
        <w:rPr>
          <w:rFonts w:ascii="Times New Roman" w:hAnsi="Times New Roman"/>
          <w:lang w:val="pt-PT"/>
        </w:rPr>
        <w:t>O beneficiário não tem de identificar os custos elegíveis efetivos cobertos nem apresentar documentos comprovativos, nomeadamente demonstrações contabilísticas, para comprovar o montante declarado como montante fixo;</w:t>
      </w:r>
    </w:p>
    <w:p w14:paraId="48730187" w14:textId="77777777" w:rsidR="007A392C" w:rsidRPr="002D2FDF" w:rsidRDefault="00DF48E8">
      <w:pPr>
        <w:numPr>
          <w:ilvl w:val="0"/>
          <w:numId w:val="47"/>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No que respeita aos custos de taxa fixa ou contribuições de taxa fixa: documentos adequados que comprovem os custos elegíveis ou a contribuição solicitada a que a taxa fixa se aplica.</w:t>
      </w:r>
    </w:p>
    <w:p w14:paraId="7F0E8403" w14:textId="77777777" w:rsidR="007A392C" w:rsidRPr="002D2FDF" w:rsidRDefault="00DF48E8">
      <w:pPr>
        <w:spacing w:line="240" w:lineRule="auto"/>
        <w:ind w:left="709"/>
        <w:jc w:val="both"/>
        <w:rPr>
          <w:rFonts w:ascii="Times New Roman" w:hAnsi="Times New Roman"/>
          <w:sz w:val="24"/>
          <w:szCs w:val="24"/>
          <w:lang w:val="pt-PT"/>
        </w:rPr>
      </w:pPr>
      <w:r w:rsidRPr="002D2FDF">
        <w:rPr>
          <w:rFonts w:ascii="Times New Roman" w:hAnsi="Times New Roman"/>
          <w:lang w:val="pt-PT"/>
        </w:rPr>
        <w:t xml:space="preserve">O beneficiário não tem de identificar os custos elegíveis efetivos cobertos nem de apresentar documentos comprovativos, nomeadamente demonstrações contabilísticas, para comprovar a taxa fixa aplicada;    </w:t>
      </w:r>
    </w:p>
    <w:p w14:paraId="203A25D3" w14:textId="77777777" w:rsidR="007A392C" w:rsidRPr="002D2FDF" w:rsidRDefault="00E94DD6">
      <w:pPr>
        <w:numPr>
          <w:ilvl w:val="0"/>
          <w:numId w:val="47"/>
        </w:numPr>
        <w:spacing w:before="100" w:beforeAutospacing="1" w:after="0" w:line="240" w:lineRule="auto"/>
        <w:ind w:left="851" w:hanging="567"/>
        <w:jc w:val="both"/>
        <w:rPr>
          <w:rFonts w:ascii="Times New Roman" w:hAnsi="Times New Roman"/>
          <w:sz w:val="24"/>
          <w:szCs w:val="24"/>
          <w:lang w:val="pt-PT"/>
        </w:rPr>
      </w:pPr>
      <w:r w:rsidRPr="002D2FDF">
        <w:rPr>
          <w:rFonts w:ascii="Times New Roman" w:hAnsi="Times New Roman"/>
          <w:lang w:val="pt-PT"/>
        </w:rPr>
        <w:t>No que respeita ao financiamento não associado aos custos: documentos adequados para comprovar que a ação foi corretamente executada;</w:t>
      </w:r>
    </w:p>
    <w:p w14:paraId="71C9C42D" w14:textId="77777777" w:rsidR="007A392C" w:rsidRPr="002D2FDF" w:rsidRDefault="00E94DD6">
      <w:pPr>
        <w:spacing w:before="100" w:beforeAutospacing="1" w:after="0" w:line="240" w:lineRule="auto"/>
        <w:ind w:left="851"/>
        <w:jc w:val="both"/>
        <w:rPr>
          <w:rFonts w:ascii="Times New Roman" w:hAnsi="Times New Roman"/>
          <w:sz w:val="24"/>
          <w:szCs w:val="24"/>
          <w:lang w:val="pt-PT"/>
        </w:rPr>
      </w:pPr>
      <w:r w:rsidRPr="002D2FDF">
        <w:rPr>
          <w:rFonts w:ascii="Times New Roman" w:hAnsi="Times New Roman"/>
          <w:lang w:val="pt-PT"/>
        </w:rPr>
        <w:t xml:space="preserve">O beneficiário não tem de identificar os custos elegíveis efetivos cobertos nem apresentar documentos comprovativos, nomeadamente demonstrações contabilísticas, para comprovar o montante declarado como financiamento não associado aos custos; </w:t>
      </w:r>
    </w:p>
    <w:p w14:paraId="6AEB5D79" w14:textId="77777777" w:rsidR="007A392C" w:rsidRPr="002D2FDF" w:rsidRDefault="00DF48E8">
      <w:pPr>
        <w:numPr>
          <w:ilvl w:val="0"/>
          <w:numId w:val="47"/>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No que respeita aos custos unitários declarados com base nas práticas habituais do beneficiário em matéria de contabilidade analítica: documentos adequados para comprovar o número de unidades declaradas;</w:t>
      </w:r>
    </w:p>
    <w:p w14:paraId="626DEADC" w14:textId="77777777" w:rsidR="007A392C" w:rsidRPr="002D2FDF" w:rsidRDefault="00DF48E8">
      <w:pPr>
        <w:numPr>
          <w:ilvl w:val="0"/>
          <w:numId w:val="47"/>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No que respeita aos custos de montante fixo declarados com base nas práticas habituais do beneficiário em matéria de contabilidade analítica: documentos adequados para comprovar que a </w:t>
      </w:r>
      <w:r w:rsidRPr="002D2FDF">
        <w:rPr>
          <w:rFonts w:ascii="Times New Roman" w:hAnsi="Times New Roman"/>
          <w:i/>
          <w:lang w:val="pt-PT"/>
        </w:rPr>
        <w:t>ação</w:t>
      </w:r>
      <w:r w:rsidRPr="002D2FDF">
        <w:rPr>
          <w:rFonts w:ascii="Times New Roman" w:hAnsi="Times New Roman"/>
          <w:lang w:val="pt-PT"/>
        </w:rPr>
        <w:t xml:space="preserve"> foi corretamente executada;</w:t>
      </w:r>
    </w:p>
    <w:p w14:paraId="2DD7D629" w14:textId="77777777" w:rsidR="007A392C" w:rsidRPr="002D2FDF" w:rsidRDefault="00DF48E8">
      <w:pPr>
        <w:numPr>
          <w:ilvl w:val="0"/>
          <w:numId w:val="47"/>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No que respeita aos custos de taxa fixa declarados com base nas práticas habituais do beneficiário em matéria de contabilidade analítica: documentos adequados que comprovem os custos elegíveis a que a taxa fixa se aplica.</w:t>
      </w:r>
    </w:p>
    <w:p w14:paraId="4C3FAD5F" w14:textId="77777777" w:rsidR="007A392C" w:rsidRPr="002D2FDF" w:rsidRDefault="00DF48E8">
      <w:pPr>
        <w:pStyle w:val="Heading3"/>
        <w:jc w:val="both"/>
        <w:rPr>
          <w:rFonts w:ascii="Times New Roman" w:hAnsi="Times New Roman"/>
          <w:lang w:val="pt-PT"/>
        </w:rPr>
      </w:pPr>
      <w:bookmarkStart w:id="86" w:name="_Toc441250865"/>
      <w:bookmarkStart w:id="87" w:name="_Toc446535908"/>
      <w:r w:rsidRPr="002D2FDF">
        <w:rPr>
          <w:rFonts w:ascii="Times New Roman" w:hAnsi="Times New Roman"/>
          <w:lang w:val="pt-PT"/>
        </w:rPr>
        <w:t xml:space="preserve">II.20.3 Condições para determinar </w:t>
      </w:r>
      <w:bookmarkStart w:id="88" w:name="_GoBack"/>
      <w:bookmarkEnd w:id="88"/>
      <w:r w:rsidRPr="002D2FDF">
        <w:rPr>
          <w:rFonts w:ascii="Times New Roman" w:hAnsi="Times New Roman"/>
          <w:lang w:val="pt-PT"/>
        </w:rPr>
        <w:t>a conformidade das práticas de contabilidade analítica</w:t>
      </w:r>
      <w:bookmarkEnd w:id="86"/>
      <w:bookmarkEnd w:id="87"/>
    </w:p>
    <w:p w14:paraId="41EB047B" w14:textId="77777777" w:rsidR="007A392C" w:rsidRPr="002D2FDF" w:rsidRDefault="00DF48E8">
      <w:pPr>
        <w:tabs>
          <w:tab w:val="left" w:pos="851"/>
        </w:tabs>
        <w:autoSpaceDE w:val="0"/>
        <w:autoSpaceDN w:val="0"/>
        <w:adjustRightInd w:val="0"/>
        <w:spacing w:after="0" w:line="240" w:lineRule="auto"/>
        <w:ind w:left="960" w:hanging="960"/>
        <w:jc w:val="both"/>
        <w:rPr>
          <w:rFonts w:ascii="Times New Roman" w:hAnsi="Times New Roman"/>
          <w:sz w:val="24"/>
          <w:szCs w:val="24"/>
          <w:lang w:val="pt-PT"/>
        </w:rPr>
      </w:pPr>
      <w:r w:rsidRPr="002D2FDF">
        <w:rPr>
          <w:rFonts w:ascii="Times New Roman" w:hAnsi="Times New Roman"/>
          <w:b/>
          <w:lang w:val="pt-PT"/>
        </w:rPr>
        <w:t xml:space="preserve">II.20.3.1 </w:t>
      </w:r>
      <w:r w:rsidRPr="002D2FDF">
        <w:rPr>
          <w:rFonts w:ascii="Times New Roman" w:hAnsi="Times New Roman"/>
          <w:lang w:val="pt-PT"/>
        </w:rPr>
        <w:t>Nos casos previstos no artigo II.20.2, alíneas e), f) e g), o beneficiário não tem de identificar os custos elegíveis efetivos incorridos, mas deve assegurar que as práticas de contabilidade analítica utilizadas para declarar os custos elegíveis estão em conformidade com as seguintes condições:</w:t>
      </w:r>
    </w:p>
    <w:p w14:paraId="7017BCE5" w14:textId="77777777" w:rsidR="007A392C" w:rsidRPr="002D2FDF" w:rsidRDefault="00DF48E8">
      <w:pPr>
        <w:numPr>
          <w:ilvl w:val="0"/>
          <w:numId w:val="48"/>
        </w:numPr>
        <w:spacing w:before="100" w:beforeAutospacing="1" w:after="100" w:afterAutospacing="1" w:line="240" w:lineRule="auto"/>
        <w:ind w:left="1418" w:hanging="425"/>
        <w:jc w:val="both"/>
        <w:rPr>
          <w:rFonts w:ascii="Times New Roman" w:hAnsi="Times New Roman"/>
          <w:sz w:val="24"/>
          <w:szCs w:val="24"/>
          <w:lang w:val="pt-PT"/>
        </w:rPr>
      </w:pPr>
      <w:r w:rsidRPr="002D2FDF">
        <w:rPr>
          <w:rFonts w:ascii="Times New Roman" w:hAnsi="Times New Roman"/>
          <w:lang w:val="pt-PT"/>
        </w:rPr>
        <w:t>As práticas de contabilidade analítica utilizadas são as suas práticas habituais de contabilidade analítica e são aplicadas de forma coerente, com base em critérios objetivos e independentes da fonte de financiamento;</w:t>
      </w:r>
    </w:p>
    <w:p w14:paraId="59B691B4" w14:textId="77777777" w:rsidR="007A392C" w:rsidRPr="002D2FDF" w:rsidRDefault="00DF48E8">
      <w:pPr>
        <w:numPr>
          <w:ilvl w:val="0"/>
          <w:numId w:val="48"/>
        </w:numPr>
        <w:spacing w:before="100" w:beforeAutospacing="1" w:after="100" w:afterAutospacing="1" w:line="240" w:lineRule="auto"/>
        <w:ind w:left="1418" w:hanging="425"/>
        <w:jc w:val="both"/>
        <w:rPr>
          <w:rFonts w:ascii="Times New Roman" w:hAnsi="Times New Roman"/>
          <w:sz w:val="24"/>
          <w:szCs w:val="24"/>
          <w:lang w:val="pt-PT"/>
        </w:rPr>
      </w:pPr>
      <w:r w:rsidRPr="002D2FDF">
        <w:rPr>
          <w:rFonts w:ascii="Times New Roman" w:hAnsi="Times New Roman"/>
          <w:lang w:val="pt-PT"/>
        </w:rPr>
        <w:t>Os custos declarados podem ser diretamente conciliados com os montantes registados na sua contabilidade geral; e</w:t>
      </w:r>
    </w:p>
    <w:p w14:paraId="4C00919D" w14:textId="77777777" w:rsidR="007A392C" w:rsidRPr="002D2FDF" w:rsidRDefault="00DF48E8">
      <w:pPr>
        <w:numPr>
          <w:ilvl w:val="0"/>
          <w:numId w:val="48"/>
        </w:numPr>
        <w:spacing w:before="100" w:beforeAutospacing="1" w:after="100" w:afterAutospacing="1" w:line="240" w:lineRule="auto"/>
        <w:ind w:left="1418" w:hanging="425"/>
        <w:jc w:val="both"/>
        <w:rPr>
          <w:rFonts w:ascii="Times New Roman" w:hAnsi="Times New Roman"/>
          <w:sz w:val="24"/>
          <w:szCs w:val="24"/>
          <w:lang w:val="pt-PT"/>
        </w:rPr>
      </w:pPr>
      <w:r w:rsidRPr="002D2FDF">
        <w:rPr>
          <w:rFonts w:ascii="Times New Roman" w:hAnsi="Times New Roman"/>
          <w:lang w:val="pt-PT"/>
        </w:rPr>
        <w:t>As categorias de custos utilizadas para determinar os custos declarados excluem os custos inelegíveis ou os custos cobertos por outras formas de subvenção previstas no artigo I.3.2.</w:t>
      </w:r>
    </w:p>
    <w:p w14:paraId="4CDF0B1A" w14:textId="77777777" w:rsidR="007A392C" w:rsidRPr="002D2FDF" w:rsidRDefault="00DF48E8">
      <w:pPr>
        <w:spacing w:line="240" w:lineRule="auto"/>
        <w:ind w:left="993" w:hanging="993"/>
        <w:jc w:val="both"/>
        <w:rPr>
          <w:rFonts w:ascii="Times New Roman" w:hAnsi="Times New Roman"/>
          <w:sz w:val="24"/>
          <w:szCs w:val="24"/>
          <w:lang w:val="pt-PT"/>
        </w:rPr>
      </w:pPr>
      <w:r w:rsidRPr="002D2FDF">
        <w:rPr>
          <w:rFonts w:ascii="Times New Roman" w:hAnsi="Times New Roman"/>
          <w:b/>
          <w:lang w:val="pt-PT"/>
        </w:rPr>
        <w:t>II.20.3.2</w:t>
      </w:r>
      <w:r w:rsidRPr="002D2FDF">
        <w:rPr>
          <w:rFonts w:ascii="Times New Roman" w:hAnsi="Times New Roman"/>
          <w:b/>
          <w:lang w:val="pt-PT"/>
        </w:rPr>
        <w:tab/>
      </w:r>
      <w:r w:rsidRPr="002D2FDF">
        <w:rPr>
          <w:rFonts w:ascii="Times New Roman" w:hAnsi="Times New Roman"/>
          <w:lang w:val="pt-PT"/>
        </w:rPr>
        <w:t>Se previsto nas condições especiais, o beneficiário pode apresentar à Comissão um pedido convidando-a a avaliar a conformidade das suas práticas habituais de contabilidade analítica. Se tal for exigido nas condições especiais, o pedido deve ser acompanhado de um certificado de conformidade das práticas de contabilidade analítica («certificado de conformidade das práticas de contabilidade analítica»).</w:t>
      </w:r>
    </w:p>
    <w:p w14:paraId="23B9C0D5" w14:textId="77777777" w:rsidR="007A392C" w:rsidRPr="002D2FDF" w:rsidRDefault="00DF48E8">
      <w:pPr>
        <w:spacing w:after="0" w:line="240" w:lineRule="auto"/>
        <w:ind w:left="1559" w:hanging="567"/>
        <w:jc w:val="both"/>
        <w:rPr>
          <w:rFonts w:ascii="Times New Roman" w:hAnsi="Times New Roman"/>
          <w:sz w:val="24"/>
          <w:szCs w:val="24"/>
          <w:lang w:val="pt-PT"/>
        </w:rPr>
      </w:pPr>
      <w:r w:rsidRPr="002D2FDF">
        <w:rPr>
          <w:rFonts w:ascii="Times New Roman" w:hAnsi="Times New Roman"/>
          <w:lang w:val="pt-PT"/>
        </w:rPr>
        <w:t>Este certificado de conformidade das práticas de contabilidade analítica deve ser:</w:t>
      </w:r>
    </w:p>
    <w:p w14:paraId="282783CC" w14:textId="77777777" w:rsidR="007A392C" w:rsidRPr="002D2FDF" w:rsidRDefault="00DF48E8">
      <w:pPr>
        <w:numPr>
          <w:ilvl w:val="0"/>
          <w:numId w:val="49"/>
        </w:numPr>
        <w:spacing w:before="100" w:beforeAutospacing="1" w:after="100" w:afterAutospacing="1" w:line="240" w:lineRule="auto"/>
        <w:ind w:left="1560" w:hanging="567"/>
        <w:jc w:val="both"/>
        <w:rPr>
          <w:rFonts w:ascii="Times New Roman" w:hAnsi="Times New Roman"/>
          <w:sz w:val="24"/>
          <w:szCs w:val="24"/>
          <w:lang w:val="pt-PT"/>
        </w:rPr>
      </w:pPr>
      <w:r w:rsidRPr="002D2FDF">
        <w:rPr>
          <w:rFonts w:ascii="Times New Roman" w:hAnsi="Times New Roman"/>
          <w:lang w:val="pt-PT"/>
        </w:rPr>
        <w:t>Elaborado por um auditor certificado ou, se o beneficiário for um organismo público, por um agente público competente e independente; e</w:t>
      </w:r>
    </w:p>
    <w:p w14:paraId="0EF7E97A" w14:textId="77777777" w:rsidR="007A392C" w:rsidRPr="002D2FDF" w:rsidRDefault="00DF48E8">
      <w:pPr>
        <w:numPr>
          <w:ilvl w:val="0"/>
          <w:numId w:val="49"/>
        </w:numPr>
        <w:spacing w:before="100" w:beforeAutospacing="1" w:after="240" w:line="240" w:lineRule="auto"/>
        <w:ind w:left="1559" w:hanging="567"/>
        <w:jc w:val="both"/>
        <w:rPr>
          <w:rFonts w:ascii="Times New Roman" w:hAnsi="Times New Roman"/>
          <w:sz w:val="24"/>
          <w:szCs w:val="24"/>
          <w:lang w:val="pt-PT"/>
        </w:rPr>
      </w:pPr>
      <w:r w:rsidRPr="002D2FDF">
        <w:rPr>
          <w:rFonts w:ascii="Times New Roman" w:hAnsi="Times New Roman"/>
          <w:lang w:val="pt-PT"/>
        </w:rPr>
        <w:t>Elaborado em conformidade com o anexo VII.</w:t>
      </w:r>
    </w:p>
    <w:p w14:paraId="57C4A1EB"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O certificado deve atestar que as práticas habituais de contabilidade analítica do beneficiário utilizadas para declarar os custos elegíveis estão em conformidade com as condições especificadas no artigo II.20.3.1 e com eventuais condições suplementares previstas nas condições especiais.</w:t>
      </w:r>
    </w:p>
    <w:p w14:paraId="2D84A1D8" w14:textId="77777777" w:rsidR="007A392C" w:rsidRPr="002D2FDF" w:rsidRDefault="00DF48E8">
      <w:pPr>
        <w:spacing w:after="0" w:line="240" w:lineRule="auto"/>
        <w:ind w:left="992" w:hanging="992"/>
        <w:jc w:val="both"/>
        <w:rPr>
          <w:rFonts w:ascii="Times New Roman" w:hAnsi="Times New Roman"/>
          <w:sz w:val="24"/>
          <w:szCs w:val="24"/>
          <w:lang w:val="pt-PT"/>
        </w:rPr>
      </w:pPr>
      <w:r w:rsidRPr="002D2FDF">
        <w:rPr>
          <w:rFonts w:ascii="Times New Roman" w:hAnsi="Times New Roman"/>
          <w:b/>
          <w:lang w:val="pt-PT"/>
        </w:rPr>
        <w:t>II.20.3.3</w:t>
      </w:r>
      <w:r w:rsidRPr="002D2FDF">
        <w:rPr>
          <w:rFonts w:ascii="Times New Roman" w:hAnsi="Times New Roman"/>
          <w:b/>
          <w:lang w:val="pt-PT"/>
        </w:rPr>
        <w:tab/>
      </w:r>
      <w:r w:rsidRPr="002D2FDF">
        <w:rPr>
          <w:rFonts w:ascii="Times New Roman" w:hAnsi="Times New Roman"/>
          <w:lang w:val="pt-PT"/>
        </w:rPr>
        <w:t>Se a Comissão confirmar que as práticas habituais do beneficiário em matéria de contabilidade analítica estão conformes, os custos declarados em aplicação dessas práticas não podem ser contestados posteriormente, se:</w:t>
      </w:r>
    </w:p>
    <w:p w14:paraId="54419D68" w14:textId="77777777" w:rsidR="007A392C" w:rsidRPr="002D2FDF" w:rsidRDefault="00DF48E8">
      <w:pPr>
        <w:numPr>
          <w:ilvl w:val="0"/>
          <w:numId w:val="50"/>
        </w:numPr>
        <w:spacing w:before="100" w:beforeAutospacing="1" w:after="100" w:afterAutospacing="1" w:line="240" w:lineRule="auto"/>
        <w:ind w:left="1418" w:hanging="425"/>
        <w:jc w:val="both"/>
        <w:rPr>
          <w:rFonts w:ascii="Times New Roman" w:hAnsi="Times New Roman"/>
          <w:sz w:val="24"/>
          <w:szCs w:val="24"/>
          <w:lang w:val="pt-PT"/>
        </w:rPr>
      </w:pPr>
      <w:r w:rsidRPr="002D2FDF">
        <w:rPr>
          <w:rFonts w:ascii="Times New Roman" w:hAnsi="Times New Roman"/>
          <w:lang w:val="pt-PT"/>
        </w:rPr>
        <w:t>As práticas efetivamente utilizadas forem conformes com as aprovadas pela Comissão; e</w:t>
      </w:r>
    </w:p>
    <w:p w14:paraId="744072A0" w14:textId="77777777" w:rsidR="007A392C" w:rsidRPr="002D2FDF" w:rsidRDefault="00DF48E8">
      <w:pPr>
        <w:numPr>
          <w:ilvl w:val="0"/>
          <w:numId w:val="50"/>
        </w:numPr>
        <w:spacing w:before="100" w:beforeAutospacing="1" w:after="100" w:afterAutospacing="1" w:line="240" w:lineRule="auto"/>
        <w:ind w:left="1418" w:hanging="425"/>
        <w:jc w:val="both"/>
        <w:rPr>
          <w:rFonts w:ascii="Times New Roman" w:hAnsi="Times New Roman"/>
          <w:sz w:val="24"/>
          <w:szCs w:val="24"/>
          <w:lang w:val="pt-PT"/>
        </w:rPr>
      </w:pPr>
      <w:r w:rsidRPr="002D2FDF">
        <w:rPr>
          <w:rFonts w:ascii="Times New Roman" w:hAnsi="Times New Roman"/>
          <w:lang w:val="pt-PT"/>
        </w:rPr>
        <w:t>O beneficiário não ocultou quaisquer elementos de informação para efeitos da aprovação das suas práticas de contabilidade analítica.</w:t>
      </w:r>
    </w:p>
    <w:p w14:paraId="677A47C7" w14:textId="77777777" w:rsidR="007A392C" w:rsidRPr="002D2FDF" w:rsidRDefault="00DF48E8">
      <w:pPr>
        <w:pStyle w:val="Heading2"/>
        <w:rPr>
          <w:rFonts w:ascii="Times New Roman" w:hAnsi="Times New Roman"/>
          <w:lang w:val="pt-PT"/>
        </w:rPr>
      </w:pPr>
      <w:bookmarkStart w:id="89" w:name="_Toc441250866"/>
      <w:bookmarkStart w:id="90" w:name="_Toc446535909"/>
      <w:r w:rsidRPr="002D2FDF">
        <w:rPr>
          <w:rFonts w:ascii="Times New Roman" w:hAnsi="Times New Roman"/>
          <w:lang w:val="pt-PT"/>
        </w:rPr>
        <w:t xml:space="preserve">Artigo II.21 — Elegibilidade dos custos das entidades afiliadas ao </w:t>
      </w:r>
      <w:bookmarkEnd w:id="89"/>
      <w:r w:rsidRPr="002D2FDF">
        <w:rPr>
          <w:rFonts w:ascii="Times New Roman" w:hAnsi="Times New Roman"/>
          <w:lang w:val="pt-PT"/>
        </w:rPr>
        <w:t>beneficiário</w:t>
      </w:r>
      <w:bookmarkEnd w:id="90"/>
    </w:p>
    <w:p w14:paraId="59208D9C"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lang w:val="pt-PT"/>
        </w:rPr>
        <w:t>Se as condições especiais incluírem uma disposição sobre as entidades afiliadas ao beneficiário, os custos incorridos por essas entidades são elegíveis, se:</w:t>
      </w:r>
    </w:p>
    <w:p w14:paraId="50E57E3A" w14:textId="77777777" w:rsidR="007A392C" w:rsidRPr="002D2FDF" w:rsidRDefault="00DF48E8">
      <w:pPr>
        <w:numPr>
          <w:ilvl w:val="0"/>
          <w:numId w:val="51"/>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Satisfizerem as mesmas condições aplicáveis ao beneficiário previstas nos artigos II.19 e II.20; e</w:t>
      </w:r>
    </w:p>
    <w:p w14:paraId="0F2847C5" w14:textId="77777777" w:rsidR="007A392C" w:rsidRPr="002D2FDF" w:rsidRDefault="00DF48E8">
      <w:pPr>
        <w:numPr>
          <w:ilvl w:val="0"/>
          <w:numId w:val="51"/>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O beneficiário assegurar que as condições que lhe são aplicáveis nos termos dos artigos II.4, II.5, II.6, II.8, II.10, II.11 e II.27 são igualmente aplicáveis a essa entidade.</w:t>
      </w:r>
    </w:p>
    <w:p w14:paraId="17561C19" w14:textId="77777777" w:rsidR="007A392C" w:rsidRPr="002D2FDF" w:rsidRDefault="00DF48E8">
      <w:pPr>
        <w:pStyle w:val="Heading2"/>
        <w:rPr>
          <w:rFonts w:ascii="Times New Roman" w:hAnsi="Times New Roman"/>
          <w:lang w:val="pt-PT"/>
        </w:rPr>
      </w:pPr>
      <w:bookmarkStart w:id="91" w:name="_Toc441250867"/>
      <w:bookmarkStart w:id="92" w:name="_Toc446535910"/>
      <w:r w:rsidRPr="002D2FDF">
        <w:rPr>
          <w:rFonts w:ascii="Times New Roman" w:hAnsi="Times New Roman"/>
          <w:lang w:val="pt-PT"/>
        </w:rPr>
        <w:t>Artigo II.22 — Transferências orçamentais</w:t>
      </w:r>
      <w:bookmarkEnd w:id="91"/>
      <w:bookmarkEnd w:id="92"/>
    </w:p>
    <w:p w14:paraId="5D80A227"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O beneficiário está autorizado a ajustar o orçamento previsional indicado no anexo II por meio de transferências entre as diferentes categorias orçamentais, se o </w:t>
      </w:r>
      <w:r w:rsidRPr="002D2FDF">
        <w:rPr>
          <w:rFonts w:ascii="Times New Roman" w:hAnsi="Times New Roman"/>
          <w:i/>
          <w:lang w:val="pt-PT"/>
        </w:rPr>
        <w:t>ação</w:t>
      </w:r>
      <w:r w:rsidRPr="002D2FDF">
        <w:rPr>
          <w:rFonts w:ascii="Times New Roman" w:hAnsi="Times New Roman"/>
          <w:lang w:val="pt-PT"/>
        </w:rPr>
        <w:t xml:space="preserve"> for executado tal como descrito no anexo II. Este ajustamento não implica uma alteração da convenção tal como prevista no artigo II.13.</w:t>
      </w:r>
    </w:p>
    <w:p w14:paraId="2AD99F6A"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No entanto, o beneficiário não pode adicionar custos relacionados com </w:t>
      </w:r>
      <w:r w:rsidRPr="002D2FDF">
        <w:rPr>
          <w:rFonts w:ascii="Times New Roman" w:hAnsi="Times New Roman"/>
          <w:i/>
          <w:lang w:val="pt-PT"/>
        </w:rPr>
        <w:t>subcontratos</w:t>
      </w:r>
      <w:r w:rsidRPr="002D2FDF">
        <w:rPr>
          <w:rFonts w:ascii="Times New Roman" w:hAnsi="Times New Roman"/>
          <w:lang w:val="pt-PT"/>
        </w:rPr>
        <w:t xml:space="preserve"> não previstos no anexo II, a não ser que esses </w:t>
      </w:r>
      <w:r w:rsidRPr="002D2FDF">
        <w:rPr>
          <w:rFonts w:ascii="Times New Roman" w:hAnsi="Times New Roman"/>
          <w:i/>
          <w:lang w:val="pt-PT"/>
        </w:rPr>
        <w:t>subcontratos</w:t>
      </w:r>
      <w:r w:rsidRPr="002D2FDF">
        <w:rPr>
          <w:rFonts w:ascii="Times New Roman" w:hAnsi="Times New Roman"/>
          <w:lang w:val="pt-PT"/>
        </w:rPr>
        <w:t xml:space="preserve"> adicionais sejam aprovados pela Comissão em conformidade com o artigo II.11.1, alínea d).</w:t>
      </w:r>
    </w:p>
    <w:p w14:paraId="79C578E6" w14:textId="50D69145" w:rsidR="007A392C" w:rsidRPr="002D2FDF" w:rsidRDefault="00DF48E8">
      <w:pPr>
        <w:spacing w:line="240" w:lineRule="auto"/>
        <w:jc w:val="both"/>
        <w:rPr>
          <w:rFonts w:ascii="Times New Roman" w:hAnsi="Times New Roman"/>
          <w:i/>
          <w:sz w:val="24"/>
          <w:szCs w:val="24"/>
          <w:lang w:val="pt-PT"/>
        </w:rPr>
      </w:pPr>
      <w:r w:rsidRPr="002D2FDF">
        <w:rPr>
          <w:rFonts w:ascii="Times New Roman" w:hAnsi="Times New Roman"/>
          <w:lang w:val="pt-PT"/>
        </w:rPr>
        <w:t>Os primeiros dois parágrafos não são aplicáveis a montantes que, tal como previsto no artigo I.3.2, alínea a), subalínea iii), ou alínea c), assumam a forma de montantes fixos ou que, tal como previsto no artigo I.3.2, alínea e), assumam a forma de financiamento não associado aos custos.</w:t>
      </w:r>
    </w:p>
    <w:p w14:paraId="27BC1621" w14:textId="29E9DED6" w:rsidR="007A392C" w:rsidRPr="002D2FDF" w:rsidRDefault="00DF48E8">
      <w:pPr>
        <w:pStyle w:val="Heading2"/>
        <w:rPr>
          <w:rFonts w:ascii="Times New Roman" w:hAnsi="Times New Roman"/>
          <w:lang w:val="pt-PT"/>
        </w:rPr>
      </w:pPr>
      <w:bookmarkStart w:id="93" w:name="_Toc441250868"/>
      <w:bookmarkStart w:id="94" w:name="_Toc446535911"/>
      <w:r w:rsidRPr="002D2FDF">
        <w:rPr>
          <w:rFonts w:ascii="Times New Roman" w:hAnsi="Times New Roman"/>
          <w:lang w:val="pt-PT"/>
        </w:rPr>
        <w:t>Artigo II.23 — Incumprimento das obrigações em matéria de apresentação de relatórios</w:t>
      </w:r>
      <w:bookmarkEnd w:id="93"/>
      <w:bookmarkEnd w:id="94"/>
    </w:p>
    <w:p w14:paraId="75A9AC27" w14:textId="77777777" w:rsidR="007A392C" w:rsidRPr="002D2FDF" w:rsidRDefault="00DF48E8">
      <w:pPr>
        <w:spacing w:after="0" w:line="240" w:lineRule="auto"/>
        <w:jc w:val="both"/>
        <w:rPr>
          <w:rFonts w:ascii="Times New Roman" w:hAnsi="Times New Roman"/>
          <w:bCs/>
          <w:sz w:val="24"/>
          <w:szCs w:val="24"/>
          <w:lang w:val="pt-PT"/>
        </w:rPr>
      </w:pPr>
      <w:r w:rsidRPr="002D2FDF">
        <w:rPr>
          <w:rFonts w:ascii="Times New Roman" w:hAnsi="Times New Roman"/>
          <w:bCs/>
          <w:lang w:val="pt-PT"/>
        </w:rPr>
        <w:t xml:space="preserve">A Comissão pode resolver a convenção nos termos do artigo II.17.2.1, alínea b), e pode reduzir a subvenção nos termos do artigo II.25.4, se </w:t>
      </w:r>
      <w:r w:rsidRPr="002D2FDF">
        <w:rPr>
          <w:rFonts w:ascii="Times New Roman" w:hAnsi="Times New Roman"/>
          <w:lang w:val="pt-PT"/>
        </w:rPr>
        <w:t>o beneficiário</w:t>
      </w:r>
      <w:r w:rsidRPr="002D2FDF">
        <w:rPr>
          <w:rFonts w:ascii="Times New Roman" w:hAnsi="Times New Roman"/>
          <w:bCs/>
          <w:lang w:val="pt-PT"/>
        </w:rPr>
        <w:t>:</w:t>
      </w:r>
    </w:p>
    <w:p w14:paraId="093E4EE7" w14:textId="77777777" w:rsidR="007A392C" w:rsidRPr="002D2FDF" w:rsidRDefault="00DF48E8">
      <w:pPr>
        <w:numPr>
          <w:ilvl w:val="0"/>
          <w:numId w:val="52"/>
        </w:numPr>
        <w:spacing w:before="120" w:after="120" w:line="240" w:lineRule="auto"/>
        <w:ind w:left="714" w:hanging="357"/>
        <w:jc w:val="both"/>
        <w:rPr>
          <w:rFonts w:ascii="Times New Roman" w:hAnsi="Times New Roman"/>
          <w:bCs/>
          <w:sz w:val="24"/>
          <w:szCs w:val="24"/>
          <w:lang w:val="pt-PT"/>
        </w:rPr>
      </w:pPr>
      <w:r w:rsidRPr="002D2FDF">
        <w:rPr>
          <w:rFonts w:ascii="Times New Roman" w:hAnsi="Times New Roman"/>
          <w:lang w:val="pt-PT"/>
        </w:rPr>
        <w:t xml:space="preserve">Não apresentar um pedido de pagamento intermédio ou de pagamento do saldo, acompanhado dos documentos referidos nos artigos I.4.3 ou I.4.4, no prazo de </w:t>
      </w:r>
      <w:r w:rsidRPr="002D2FDF">
        <w:rPr>
          <w:rFonts w:ascii="Times New Roman" w:hAnsi="Times New Roman"/>
          <w:bCs/>
          <w:lang w:val="pt-PT"/>
        </w:rPr>
        <w:t>60 dias de calendário após o termo do período de apresentação de relatórios correspondente; e</w:t>
      </w:r>
    </w:p>
    <w:p w14:paraId="3665BBC6" w14:textId="3F4DB224" w:rsidR="007A392C" w:rsidRPr="002D2FDF" w:rsidRDefault="00DF48E8">
      <w:pPr>
        <w:numPr>
          <w:ilvl w:val="0"/>
          <w:numId w:val="52"/>
        </w:numPr>
        <w:spacing w:before="120" w:after="120" w:line="240" w:lineRule="auto"/>
        <w:ind w:left="714" w:hanging="357"/>
        <w:jc w:val="both"/>
        <w:rPr>
          <w:rFonts w:ascii="Times New Roman" w:hAnsi="Times New Roman"/>
          <w:i/>
          <w:sz w:val="24"/>
          <w:szCs w:val="24"/>
          <w:lang w:val="pt-PT"/>
        </w:rPr>
      </w:pPr>
      <w:r w:rsidRPr="002D2FDF">
        <w:rPr>
          <w:rFonts w:ascii="Times New Roman" w:hAnsi="Times New Roman"/>
          <w:lang w:val="pt-PT"/>
        </w:rPr>
        <w:t>Continuar a não apresentar esse pedido no prazo de 60 dias de calendário após</w:t>
      </w:r>
      <w:r w:rsidR="002D2FDF">
        <w:rPr>
          <w:rFonts w:ascii="Times New Roman" w:hAnsi="Times New Roman"/>
          <w:lang w:val="pt-PT"/>
        </w:rPr>
        <w:t xml:space="preserve"> a Comissão enviar</w:t>
      </w:r>
      <w:r w:rsidRPr="002D2FDF">
        <w:rPr>
          <w:rFonts w:ascii="Times New Roman" w:hAnsi="Times New Roman"/>
          <w:lang w:val="pt-PT"/>
        </w:rPr>
        <w:t xml:space="preserve"> uma notificação escrita nesse </w:t>
      </w:r>
      <w:r w:rsidR="002D2FDF">
        <w:rPr>
          <w:rFonts w:ascii="Times New Roman" w:hAnsi="Times New Roman"/>
          <w:lang w:val="pt-PT"/>
        </w:rPr>
        <w:t>sentido</w:t>
      </w:r>
      <w:r w:rsidRPr="002D2FDF">
        <w:rPr>
          <w:rFonts w:ascii="Times New Roman" w:hAnsi="Times New Roman"/>
          <w:lang w:val="pt-PT"/>
        </w:rPr>
        <w:t>.</w:t>
      </w:r>
    </w:p>
    <w:p w14:paraId="77E17C2F" w14:textId="57A86FF6" w:rsidR="007A392C" w:rsidRPr="002D2FDF" w:rsidRDefault="00DF48E8">
      <w:pPr>
        <w:pStyle w:val="Heading2"/>
        <w:rPr>
          <w:rFonts w:ascii="Times New Roman" w:hAnsi="Times New Roman"/>
          <w:lang w:val="pt-PT"/>
        </w:rPr>
      </w:pPr>
      <w:bookmarkStart w:id="95" w:name="_Toc441250869"/>
      <w:bookmarkStart w:id="96" w:name="_Toc446535912"/>
      <w:r w:rsidRPr="002D2FDF">
        <w:rPr>
          <w:rFonts w:ascii="Times New Roman" w:hAnsi="Times New Roman"/>
          <w:lang w:val="pt-PT"/>
        </w:rPr>
        <w:t>Artigo II.24 — Suspensão dos pagamentos e prazos de pagamento</w:t>
      </w:r>
      <w:bookmarkEnd w:id="95"/>
      <w:bookmarkEnd w:id="96"/>
    </w:p>
    <w:p w14:paraId="20660E70" w14:textId="01FD3422" w:rsidR="007A392C" w:rsidRPr="002D2FDF" w:rsidRDefault="00DF48E8">
      <w:pPr>
        <w:pStyle w:val="Heading3"/>
        <w:jc w:val="both"/>
        <w:rPr>
          <w:rFonts w:ascii="Times New Roman" w:hAnsi="Times New Roman"/>
          <w:lang w:val="pt-PT"/>
        </w:rPr>
      </w:pPr>
      <w:bookmarkStart w:id="97" w:name="_Toc441250870"/>
      <w:bookmarkStart w:id="98" w:name="_Toc446535913"/>
      <w:r w:rsidRPr="002D2FDF">
        <w:rPr>
          <w:rFonts w:ascii="Times New Roman" w:hAnsi="Times New Roman"/>
          <w:lang w:val="pt-PT"/>
        </w:rPr>
        <w:t>II.24.1 Suspensão de pagamentos</w:t>
      </w:r>
      <w:bookmarkEnd w:id="97"/>
      <w:bookmarkEnd w:id="98"/>
      <w:r w:rsidRPr="002D2FDF">
        <w:rPr>
          <w:rFonts w:ascii="Times New Roman" w:hAnsi="Times New Roman"/>
          <w:lang w:val="pt-PT"/>
        </w:rPr>
        <w:t xml:space="preserve">  </w:t>
      </w:r>
    </w:p>
    <w:p w14:paraId="06449FCE" w14:textId="77777777" w:rsidR="007A392C" w:rsidRPr="002D2FDF" w:rsidRDefault="00DF48E8">
      <w:pPr>
        <w:pStyle w:val="Heading4"/>
        <w:rPr>
          <w:lang w:val="pt-PT"/>
        </w:rPr>
      </w:pPr>
      <w:r w:rsidRPr="002D2FDF">
        <w:rPr>
          <w:lang w:val="pt-PT"/>
        </w:rPr>
        <w:t>II.24.1.1 Motivos da suspensão</w:t>
      </w:r>
    </w:p>
    <w:p w14:paraId="11B34F65"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A Comissão pode, em qualquer momento, suspender, no todo ou em parte, o pagamento de pré-financiamento e os pagamentos intermédios ou o pagamento do saldo ao beneficiário:</w:t>
      </w:r>
    </w:p>
    <w:p w14:paraId="26F999F4" w14:textId="493FE2B4" w:rsidR="007A392C" w:rsidRPr="002D2FDF" w:rsidRDefault="00DF48E8">
      <w:pPr>
        <w:numPr>
          <w:ilvl w:val="0"/>
          <w:numId w:val="54"/>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Se tiver provas de que o beneficiário cometeu </w:t>
      </w:r>
      <w:r w:rsidRPr="002D2FDF">
        <w:rPr>
          <w:rFonts w:ascii="Times New Roman" w:hAnsi="Times New Roman"/>
          <w:i/>
          <w:lang w:val="pt-PT"/>
        </w:rPr>
        <w:t>irregularidades, fraudes</w:t>
      </w:r>
      <w:r w:rsidRPr="002D2FDF">
        <w:rPr>
          <w:rFonts w:ascii="Times New Roman" w:hAnsi="Times New Roman"/>
          <w:lang w:val="pt-PT"/>
        </w:rPr>
        <w:t xml:space="preserve"> ou incumprimentos de obrigações</w:t>
      </w:r>
      <w:r w:rsidRPr="002D2FDF">
        <w:rPr>
          <w:lang w:val="pt-PT"/>
        </w:rPr>
        <w:t xml:space="preserve"> </w:t>
      </w:r>
      <w:r w:rsidRPr="002D2FDF">
        <w:rPr>
          <w:rFonts w:ascii="Times New Roman" w:hAnsi="Times New Roman"/>
          <w:lang w:val="pt-PT"/>
        </w:rPr>
        <w:t>no âmbito do procedimento de atribuição ou na execução da convenção;</w:t>
      </w:r>
    </w:p>
    <w:p w14:paraId="5093EB53" w14:textId="79309BA4" w:rsidR="007A392C" w:rsidRPr="002D2FDF" w:rsidRDefault="00DF48E8">
      <w:pPr>
        <w:numPr>
          <w:ilvl w:val="0"/>
          <w:numId w:val="54"/>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Se tiver provas de que o beneficiário cometeu, de forma sistemática ou recorrente, </w:t>
      </w:r>
      <w:r w:rsidRPr="002D2FDF">
        <w:rPr>
          <w:rFonts w:ascii="Times New Roman" w:hAnsi="Times New Roman"/>
          <w:i/>
          <w:lang w:val="pt-PT"/>
        </w:rPr>
        <w:t>irregularidades,fraudes</w:t>
      </w:r>
      <w:r w:rsidRPr="002D2FDF">
        <w:rPr>
          <w:rFonts w:ascii="Times New Roman" w:hAnsi="Times New Roman"/>
          <w:lang w:val="pt-PT"/>
        </w:rPr>
        <w:t xml:space="preserve"> ou </w:t>
      </w:r>
      <w:r w:rsidRPr="002D2FDF">
        <w:rPr>
          <w:rFonts w:ascii="Times New Roman" w:hAnsi="Times New Roman"/>
          <w:i/>
          <w:lang w:val="pt-PT"/>
        </w:rPr>
        <w:t>incumprimentos graves de obrigações</w:t>
      </w:r>
      <w:r w:rsidRPr="002D2FDF">
        <w:rPr>
          <w:rFonts w:ascii="Times New Roman" w:hAnsi="Times New Roman"/>
          <w:lang w:val="pt-PT"/>
        </w:rPr>
        <w:t xml:space="preserve"> no âmbito de outras subvenções financiadas pela União ou pela Comunidade Europeia da Energia Atómica («Euratom») concedidas em condições semelhantes e de que essas </w:t>
      </w:r>
      <w:r w:rsidRPr="002D2FDF">
        <w:rPr>
          <w:rFonts w:ascii="Times New Roman" w:hAnsi="Times New Roman"/>
          <w:i/>
          <w:lang w:val="pt-PT"/>
        </w:rPr>
        <w:t>irregularidades, fraudes</w:t>
      </w:r>
      <w:r w:rsidRPr="002D2FDF">
        <w:rPr>
          <w:rFonts w:ascii="Times New Roman" w:hAnsi="Times New Roman"/>
          <w:lang w:val="pt-PT"/>
        </w:rPr>
        <w:t xml:space="preserve"> ou </w:t>
      </w:r>
      <w:r w:rsidRPr="002D2FDF">
        <w:rPr>
          <w:rFonts w:ascii="Times New Roman" w:hAnsi="Times New Roman"/>
          <w:i/>
          <w:lang w:val="pt-PT"/>
        </w:rPr>
        <w:t>incumprimentos de obrigações</w:t>
      </w:r>
      <w:r w:rsidRPr="002D2FDF">
        <w:rPr>
          <w:rFonts w:ascii="Times New Roman" w:hAnsi="Times New Roman"/>
          <w:lang w:val="pt-PT"/>
        </w:rPr>
        <w:t xml:space="preserve"> têm um impacto significativo na presente subvenção; ou</w:t>
      </w:r>
    </w:p>
    <w:p w14:paraId="55B7A625" w14:textId="77777777" w:rsidR="007A392C" w:rsidRPr="002D2FDF" w:rsidRDefault="00DF48E8">
      <w:pPr>
        <w:numPr>
          <w:ilvl w:val="0"/>
          <w:numId w:val="54"/>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Se suspeitar que o beneficiário cometeu </w:t>
      </w:r>
      <w:r w:rsidRPr="002D2FDF">
        <w:rPr>
          <w:rFonts w:ascii="Times New Roman" w:hAnsi="Times New Roman"/>
          <w:i/>
          <w:lang w:val="pt-PT"/>
        </w:rPr>
        <w:t>erros, irregularidades, fraudes</w:t>
      </w:r>
      <w:r w:rsidRPr="002D2FDF">
        <w:rPr>
          <w:rFonts w:ascii="Times New Roman" w:hAnsi="Times New Roman"/>
          <w:lang w:val="pt-PT"/>
        </w:rPr>
        <w:t xml:space="preserve"> ou </w:t>
      </w:r>
      <w:r w:rsidRPr="002D2FDF">
        <w:rPr>
          <w:rFonts w:ascii="Times New Roman" w:hAnsi="Times New Roman"/>
          <w:i/>
          <w:lang w:val="pt-PT"/>
        </w:rPr>
        <w:t>incumprimentos de obrigações</w:t>
      </w:r>
      <w:r w:rsidRPr="002D2FDF">
        <w:rPr>
          <w:rFonts w:ascii="Times New Roman" w:hAnsi="Times New Roman"/>
          <w:lang w:val="pt-PT"/>
        </w:rPr>
        <w:t xml:space="preserve"> substanciais, no contexto do procedimento de atribuição ou da execução da convenção, e precisar de verificar se ocorreram efetivamente;</w:t>
      </w:r>
    </w:p>
    <w:p w14:paraId="016DAEDD" w14:textId="77777777" w:rsidR="007A392C" w:rsidRPr="002D2FDF" w:rsidRDefault="00DF48E8">
      <w:pPr>
        <w:pStyle w:val="Heading4"/>
        <w:spacing w:after="240"/>
        <w:rPr>
          <w:lang w:val="pt-PT"/>
        </w:rPr>
      </w:pPr>
      <w:r w:rsidRPr="002D2FDF">
        <w:rPr>
          <w:lang w:val="pt-PT"/>
        </w:rPr>
        <w:t>II.24.1.2 Procedimento de suspensão</w:t>
      </w:r>
    </w:p>
    <w:p w14:paraId="67DA0A75"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b/>
          <w:lang w:val="pt-PT"/>
        </w:rPr>
        <w:t xml:space="preserve">Passo 1 — </w:t>
      </w:r>
      <w:r w:rsidRPr="002D2FDF">
        <w:rPr>
          <w:rFonts w:ascii="Times New Roman" w:hAnsi="Times New Roman"/>
          <w:lang w:val="pt-PT"/>
        </w:rPr>
        <w:t xml:space="preserve">Antes da suspensão dos pagamentos, a Comissão deve enviar uma </w:t>
      </w:r>
      <w:r w:rsidRPr="002D2FDF">
        <w:rPr>
          <w:rFonts w:ascii="Times New Roman" w:hAnsi="Times New Roman"/>
          <w:i/>
          <w:lang w:val="pt-PT"/>
        </w:rPr>
        <w:t>notificação formal</w:t>
      </w:r>
      <w:r w:rsidRPr="002D2FDF">
        <w:rPr>
          <w:rFonts w:ascii="Times New Roman" w:hAnsi="Times New Roman"/>
          <w:lang w:val="pt-PT"/>
        </w:rPr>
        <w:t xml:space="preserve"> ao beneficiário:</w:t>
      </w:r>
    </w:p>
    <w:p w14:paraId="32D010DC" w14:textId="77777777" w:rsidR="007A392C" w:rsidRDefault="00DF48E8">
      <w:pPr>
        <w:numPr>
          <w:ilvl w:val="0"/>
          <w:numId w:val="55"/>
        </w:numPr>
        <w:spacing w:before="100" w:beforeAutospacing="1" w:after="100" w:afterAutospacing="1" w:line="240" w:lineRule="auto"/>
        <w:jc w:val="both"/>
        <w:rPr>
          <w:rFonts w:ascii="Times New Roman" w:hAnsi="Times New Roman"/>
          <w:sz w:val="24"/>
          <w:szCs w:val="24"/>
        </w:rPr>
      </w:pPr>
      <w:r>
        <w:rPr>
          <w:rFonts w:ascii="Times New Roman" w:hAnsi="Times New Roman"/>
        </w:rPr>
        <w:t>Informando-o:</w:t>
      </w:r>
    </w:p>
    <w:p w14:paraId="73238B81" w14:textId="77777777" w:rsidR="007A392C" w:rsidRPr="002D2FDF" w:rsidRDefault="00DF48E8">
      <w:pPr>
        <w:numPr>
          <w:ilvl w:val="0"/>
          <w:numId w:val="56"/>
        </w:numPr>
        <w:spacing w:before="100" w:beforeAutospacing="1" w:after="100" w:afterAutospacing="1" w:line="240" w:lineRule="auto"/>
        <w:ind w:left="1276" w:hanging="567"/>
        <w:jc w:val="both"/>
        <w:rPr>
          <w:rFonts w:ascii="Times New Roman" w:hAnsi="Times New Roman"/>
          <w:sz w:val="24"/>
          <w:szCs w:val="24"/>
          <w:lang w:val="pt-PT"/>
        </w:rPr>
      </w:pPr>
      <w:r w:rsidRPr="002D2FDF">
        <w:rPr>
          <w:rFonts w:ascii="Times New Roman" w:hAnsi="Times New Roman"/>
          <w:lang w:val="pt-PT"/>
        </w:rPr>
        <w:t>da sua intenção de suspender os pagamentos;</w:t>
      </w:r>
    </w:p>
    <w:p w14:paraId="35ABCDEC" w14:textId="77777777" w:rsidR="007A392C" w:rsidRDefault="00DF48E8">
      <w:pPr>
        <w:numPr>
          <w:ilvl w:val="0"/>
          <w:numId w:val="56"/>
        </w:numPr>
        <w:spacing w:before="100" w:beforeAutospacing="1" w:after="100" w:afterAutospacing="1" w:line="240" w:lineRule="auto"/>
        <w:ind w:left="1276" w:hanging="567"/>
        <w:jc w:val="both"/>
        <w:rPr>
          <w:rFonts w:ascii="Times New Roman" w:hAnsi="Times New Roman"/>
          <w:sz w:val="24"/>
          <w:szCs w:val="24"/>
        </w:rPr>
      </w:pPr>
      <w:r>
        <w:rPr>
          <w:rFonts w:ascii="Times New Roman" w:hAnsi="Times New Roman"/>
        </w:rPr>
        <w:t xml:space="preserve">dos motivos da suspensão;  </w:t>
      </w:r>
    </w:p>
    <w:p w14:paraId="1B07AC88" w14:textId="77777777" w:rsidR="007A392C" w:rsidRPr="002D2FDF" w:rsidRDefault="00DF48E8">
      <w:pPr>
        <w:numPr>
          <w:ilvl w:val="0"/>
          <w:numId w:val="56"/>
        </w:numPr>
        <w:spacing w:before="100" w:beforeAutospacing="1" w:after="100" w:afterAutospacing="1" w:line="240" w:lineRule="auto"/>
        <w:ind w:left="1276" w:hanging="567"/>
        <w:jc w:val="both"/>
        <w:rPr>
          <w:rFonts w:ascii="Times New Roman" w:hAnsi="Times New Roman"/>
          <w:sz w:val="24"/>
          <w:szCs w:val="24"/>
          <w:lang w:val="pt-PT"/>
        </w:rPr>
      </w:pPr>
      <w:r w:rsidRPr="002D2FDF">
        <w:rPr>
          <w:rFonts w:ascii="Times New Roman" w:hAnsi="Times New Roman"/>
          <w:lang w:val="pt-PT"/>
        </w:rPr>
        <w:t>nos casos referidos no artigo II.24.1.1, alíneas a) e b), das condições que devem ser preenchidas para os pagamentos recomeçarem; e</w:t>
      </w:r>
    </w:p>
    <w:p w14:paraId="10729010" w14:textId="77777777" w:rsidR="007A392C" w:rsidRPr="002D2FDF" w:rsidRDefault="00DF48E8">
      <w:pPr>
        <w:numPr>
          <w:ilvl w:val="0"/>
          <w:numId w:val="55"/>
        </w:numPr>
        <w:spacing w:before="100" w:beforeAutospacing="1" w:after="24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Convidando-o a apresentar as suas observações no prazo de 30 dias de calendário a contar da receção da </w:t>
      </w:r>
      <w:r w:rsidRPr="002D2FDF">
        <w:rPr>
          <w:rFonts w:ascii="Times New Roman" w:hAnsi="Times New Roman"/>
          <w:i/>
          <w:lang w:val="pt-PT"/>
        </w:rPr>
        <w:t>notificação formal</w:t>
      </w:r>
      <w:r w:rsidRPr="002D2FDF">
        <w:rPr>
          <w:rFonts w:ascii="Times New Roman" w:hAnsi="Times New Roman"/>
          <w:lang w:val="pt-PT"/>
        </w:rPr>
        <w:t>.</w:t>
      </w:r>
    </w:p>
    <w:p w14:paraId="160D6133"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b/>
          <w:lang w:val="pt-PT"/>
        </w:rPr>
        <w:t>Passo 2</w:t>
      </w:r>
      <w:r w:rsidRPr="002D2FDF">
        <w:rPr>
          <w:rFonts w:ascii="Times New Roman" w:hAnsi="Times New Roman"/>
          <w:lang w:val="pt-PT"/>
        </w:rPr>
        <w:t xml:space="preserve"> — Se a Comissão não receber observações ou decidir aplicar o procedimento apesar das observações recebidas, deve enviar ao beneficiário uma </w:t>
      </w:r>
      <w:r w:rsidRPr="002D2FDF">
        <w:rPr>
          <w:rFonts w:ascii="Times New Roman" w:hAnsi="Times New Roman"/>
          <w:i/>
          <w:lang w:val="pt-PT"/>
        </w:rPr>
        <w:t>notificação formal</w:t>
      </w:r>
      <w:r w:rsidRPr="002D2FDF">
        <w:rPr>
          <w:rFonts w:ascii="Times New Roman" w:hAnsi="Times New Roman"/>
          <w:lang w:val="pt-PT"/>
        </w:rPr>
        <w:t>, informando-o:</w:t>
      </w:r>
    </w:p>
    <w:p w14:paraId="1A569B86" w14:textId="77777777" w:rsidR="007A392C" w:rsidRDefault="00DF48E8">
      <w:pPr>
        <w:numPr>
          <w:ilvl w:val="0"/>
          <w:numId w:val="57"/>
        </w:numPr>
        <w:spacing w:before="120" w:after="120" w:line="240" w:lineRule="auto"/>
        <w:ind w:left="714" w:hanging="357"/>
        <w:jc w:val="both"/>
        <w:rPr>
          <w:rFonts w:ascii="Times New Roman" w:hAnsi="Times New Roman"/>
          <w:sz w:val="24"/>
          <w:szCs w:val="24"/>
        </w:rPr>
      </w:pPr>
      <w:r>
        <w:rPr>
          <w:rFonts w:ascii="Times New Roman" w:hAnsi="Times New Roman"/>
        </w:rPr>
        <w:t>Da suspensão dos pagamentos;</w:t>
      </w:r>
    </w:p>
    <w:p w14:paraId="07992DCA" w14:textId="77777777" w:rsidR="007A392C" w:rsidRDefault="00DF48E8">
      <w:pPr>
        <w:numPr>
          <w:ilvl w:val="0"/>
          <w:numId w:val="57"/>
        </w:numPr>
        <w:spacing w:before="120" w:after="120" w:line="240" w:lineRule="auto"/>
        <w:ind w:left="714" w:hanging="357"/>
        <w:jc w:val="both"/>
        <w:rPr>
          <w:rFonts w:ascii="Times New Roman" w:hAnsi="Times New Roman"/>
          <w:sz w:val="24"/>
          <w:szCs w:val="24"/>
        </w:rPr>
      </w:pPr>
      <w:r>
        <w:rPr>
          <w:rFonts w:ascii="Times New Roman" w:hAnsi="Times New Roman"/>
        </w:rPr>
        <w:t>Dos motivos da suspensão;</w:t>
      </w:r>
    </w:p>
    <w:p w14:paraId="1A7E4426" w14:textId="77777777" w:rsidR="007A392C" w:rsidRPr="002D2FDF" w:rsidRDefault="00DF48E8">
      <w:pPr>
        <w:numPr>
          <w:ilvl w:val="0"/>
          <w:numId w:val="57"/>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Das condições finais necessárias para os pagamentos recomeçarem nos casos referidos no artigo II.24.1.1, alíneas a) e b);</w:t>
      </w:r>
    </w:p>
    <w:p w14:paraId="79092E42" w14:textId="77777777" w:rsidR="007A392C" w:rsidRPr="002D2FDF" w:rsidRDefault="00DF48E8">
      <w:pPr>
        <w:numPr>
          <w:ilvl w:val="0"/>
          <w:numId w:val="57"/>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Da data indicativa de conclusão da verificação necessária no caso referido no artigo II.24.1.1, alínea c).</w:t>
      </w:r>
    </w:p>
    <w:p w14:paraId="70408C9D" w14:textId="77777777" w:rsidR="007A392C" w:rsidRPr="002D2FDF" w:rsidRDefault="00DF48E8">
      <w:pPr>
        <w:spacing w:line="240" w:lineRule="auto"/>
        <w:ind w:left="426"/>
        <w:jc w:val="both"/>
        <w:rPr>
          <w:rFonts w:ascii="Times New Roman" w:hAnsi="Times New Roman"/>
          <w:sz w:val="24"/>
          <w:szCs w:val="24"/>
          <w:lang w:val="pt-PT"/>
        </w:rPr>
      </w:pPr>
      <w:r w:rsidRPr="002D2FDF">
        <w:rPr>
          <w:rFonts w:ascii="Times New Roman" w:hAnsi="Times New Roman"/>
          <w:lang w:val="pt-PT"/>
        </w:rPr>
        <w:t xml:space="preserve">A suspensão produz efeitos na data em que a Comissão envia a </w:t>
      </w:r>
      <w:r w:rsidRPr="002D2FDF">
        <w:rPr>
          <w:rFonts w:ascii="Times New Roman" w:hAnsi="Times New Roman"/>
          <w:i/>
          <w:lang w:val="pt-PT"/>
        </w:rPr>
        <w:t>notificação formal</w:t>
      </w:r>
      <w:r w:rsidRPr="002D2FDF">
        <w:rPr>
          <w:rFonts w:ascii="Times New Roman" w:hAnsi="Times New Roman"/>
          <w:lang w:val="pt-PT"/>
        </w:rPr>
        <w:t xml:space="preserve"> de suspensão (passo 2).</w:t>
      </w:r>
    </w:p>
    <w:p w14:paraId="775F5FF0"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Caso contrário, a Comissão deve enviar uma </w:t>
      </w:r>
      <w:r w:rsidRPr="002D2FDF">
        <w:rPr>
          <w:rFonts w:ascii="Times New Roman" w:hAnsi="Times New Roman"/>
          <w:i/>
          <w:lang w:val="pt-PT"/>
        </w:rPr>
        <w:t>notificação formal</w:t>
      </w:r>
      <w:r w:rsidRPr="002D2FDF">
        <w:rPr>
          <w:rFonts w:ascii="Times New Roman" w:hAnsi="Times New Roman"/>
          <w:lang w:val="pt-PT"/>
        </w:rPr>
        <w:t xml:space="preserve"> ao beneficiário informando-o de que não pretende prosseguir com o procedimento de suspensão.</w:t>
      </w:r>
    </w:p>
    <w:p w14:paraId="20F07299" w14:textId="77777777" w:rsidR="007A392C" w:rsidRPr="002D2FDF" w:rsidRDefault="00DF48E8">
      <w:pPr>
        <w:pStyle w:val="Heading4"/>
        <w:rPr>
          <w:lang w:val="pt-PT"/>
        </w:rPr>
      </w:pPr>
      <w:r w:rsidRPr="002D2FDF">
        <w:rPr>
          <w:lang w:val="pt-PT"/>
        </w:rPr>
        <w:t>II.24.1.3 Efeitos da suspensão</w:t>
      </w:r>
    </w:p>
    <w:p w14:paraId="43692D86" w14:textId="77777777" w:rsidR="007A392C" w:rsidRPr="002D2FDF" w:rsidRDefault="00DF48E8">
      <w:p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Durante o período de suspensão dos pagamentos o beneficiário não tem direito a apresentar pedidos de pagamento nem os documentos comprovativos referidos nos artigos I.4.3 e I.4.4.</w:t>
      </w:r>
    </w:p>
    <w:p w14:paraId="350454A2"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Os pedidos de pagamento e documentos comprovativos correspondentes podem ser apresentados logo que possível após a retoma dos pagamentos ou incluídos no primeiro pedido de pagamento devido após a retoma dos pagamentos, de acordo com o calendário apresentado no artigo I.4.1.</w:t>
      </w:r>
    </w:p>
    <w:p w14:paraId="022F945C"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A suspensão dos pagamentos não afeta o direito do beneficiário suspender a execução da </w:t>
      </w:r>
      <w:r w:rsidRPr="002D2FDF">
        <w:rPr>
          <w:rFonts w:ascii="Times New Roman" w:hAnsi="Times New Roman"/>
          <w:i/>
          <w:lang w:val="pt-PT"/>
        </w:rPr>
        <w:t>ação</w:t>
      </w:r>
      <w:r w:rsidRPr="002D2FDF">
        <w:rPr>
          <w:rFonts w:ascii="Times New Roman" w:hAnsi="Times New Roman"/>
          <w:lang w:val="pt-PT"/>
        </w:rPr>
        <w:t>, como previsto no artigo II.16.1, ou de resolver a convenção, como previsto no artigo II.17.1.</w:t>
      </w:r>
    </w:p>
    <w:p w14:paraId="765B482A" w14:textId="77777777" w:rsidR="007A392C" w:rsidRPr="002D2FDF" w:rsidRDefault="00DF48E8">
      <w:pPr>
        <w:pStyle w:val="Heading4"/>
        <w:rPr>
          <w:lang w:val="pt-PT"/>
        </w:rPr>
      </w:pPr>
      <w:r w:rsidRPr="002D2FDF">
        <w:rPr>
          <w:lang w:val="pt-PT"/>
        </w:rPr>
        <w:t>II.24.1.4 Retoma dos pagamentos</w:t>
      </w:r>
    </w:p>
    <w:p w14:paraId="26EC5CB0"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Para que a Comissão retome os pagamentos, o beneficiário deve satisfazer o mais rapidamente possível as condições indicadas na notificação e informar a Comissão de quaisquer progressos efetuados neste sentido.</w:t>
      </w:r>
    </w:p>
    <w:p w14:paraId="54AC85DB"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Caso sejam satisfeitas as condições que permitem retomar os pagamentos, a suspensão é levantada. A Comissão deve enviar uma </w:t>
      </w:r>
      <w:r w:rsidRPr="002D2FDF">
        <w:rPr>
          <w:rFonts w:ascii="Times New Roman" w:hAnsi="Times New Roman"/>
          <w:i/>
          <w:lang w:val="pt-PT"/>
        </w:rPr>
        <w:t>notificação formal</w:t>
      </w:r>
      <w:r w:rsidRPr="002D2FDF">
        <w:rPr>
          <w:rFonts w:ascii="Times New Roman" w:hAnsi="Times New Roman"/>
          <w:lang w:val="pt-PT"/>
        </w:rPr>
        <w:t xml:space="preserve"> ao beneficiário informando-o desse facto.</w:t>
      </w:r>
    </w:p>
    <w:p w14:paraId="79980C0E" w14:textId="77777777" w:rsidR="007A392C" w:rsidRPr="002D2FDF" w:rsidRDefault="00DF48E8">
      <w:pPr>
        <w:pStyle w:val="Heading3"/>
        <w:jc w:val="both"/>
        <w:rPr>
          <w:rFonts w:ascii="Times New Roman" w:hAnsi="Times New Roman"/>
          <w:lang w:val="pt-PT"/>
        </w:rPr>
      </w:pPr>
      <w:bookmarkStart w:id="99" w:name="_Toc441250871"/>
      <w:bookmarkStart w:id="100" w:name="_Toc446535914"/>
      <w:r w:rsidRPr="002D2FDF">
        <w:rPr>
          <w:rFonts w:ascii="Times New Roman" w:hAnsi="Times New Roman"/>
          <w:lang w:val="pt-PT"/>
        </w:rPr>
        <w:t>II.24.2 Suspensão do prazo de pagamento</w:t>
      </w:r>
      <w:bookmarkEnd w:id="99"/>
      <w:bookmarkEnd w:id="100"/>
    </w:p>
    <w:p w14:paraId="59136BB2" w14:textId="77777777" w:rsidR="007A392C" w:rsidRPr="002D2FDF" w:rsidRDefault="00DF48E8">
      <w:pPr>
        <w:spacing w:after="0" w:line="240" w:lineRule="auto"/>
        <w:ind w:left="960" w:hanging="960"/>
        <w:jc w:val="both"/>
        <w:rPr>
          <w:rFonts w:ascii="Times New Roman" w:hAnsi="Times New Roman"/>
          <w:sz w:val="24"/>
          <w:szCs w:val="24"/>
          <w:lang w:val="pt-PT"/>
        </w:rPr>
      </w:pPr>
      <w:r w:rsidRPr="002D2FDF">
        <w:rPr>
          <w:rFonts w:ascii="Times New Roman" w:hAnsi="Times New Roman"/>
          <w:b/>
          <w:lang w:val="pt-PT"/>
        </w:rPr>
        <w:t>II.24.2.1</w:t>
      </w:r>
      <w:r w:rsidRPr="002D2FDF">
        <w:rPr>
          <w:rFonts w:ascii="Times New Roman" w:hAnsi="Times New Roman"/>
          <w:lang w:val="pt-PT"/>
        </w:rPr>
        <w:t xml:space="preserve"> A Comissão pode suspender em qualquer momento o prazo de pagamento fixado nos artigos I.4.2, I.4.3 e I.4.5 se um pedido de pagamento não puder ser aprovado pelo facto de:</w:t>
      </w:r>
    </w:p>
    <w:p w14:paraId="59177A2F" w14:textId="77777777" w:rsidR="007A392C" w:rsidRPr="002D2FDF" w:rsidRDefault="00DF48E8">
      <w:pPr>
        <w:numPr>
          <w:ilvl w:val="0"/>
          <w:numId w:val="58"/>
        </w:numPr>
        <w:spacing w:before="120" w:after="120" w:line="240" w:lineRule="auto"/>
        <w:ind w:left="1315" w:hanging="357"/>
        <w:jc w:val="both"/>
        <w:rPr>
          <w:rFonts w:ascii="Times New Roman" w:hAnsi="Times New Roman"/>
          <w:sz w:val="24"/>
          <w:szCs w:val="24"/>
          <w:lang w:val="pt-PT"/>
        </w:rPr>
      </w:pPr>
      <w:r w:rsidRPr="002D2FDF">
        <w:rPr>
          <w:rFonts w:ascii="Times New Roman" w:hAnsi="Times New Roman"/>
          <w:lang w:val="pt-PT"/>
        </w:rPr>
        <w:t>Não estar conforme com a convenção;</w:t>
      </w:r>
    </w:p>
    <w:p w14:paraId="74B733D7" w14:textId="77777777" w:rsidR="007A392C" w:rsidRPr="002D2FDF" w:rsidRDefault="00DF48E8">
      <w:pPr>
        <w:numPr>
          <w:ilvl w:val="0"/>
          <w:numId w:val="58"/>
        </w:numPr>
        <w:spacing w:before="120" w:after="120" w:line="240" w:lineRule="auto"/>
        <w:ind w:left="1315" w:hanging="357"/>
        <w:jc w:val="both"/>
        <w:rPr>
          <w:rFonts w:ascii="Times New Roman" w:hAnsi="Times New Roman"/>
          <w:sz w:val="24"/>
          <w:szCs w:val="24"/>
          <w:lang w:val="pt-PT"/>
        </w:rPr>
      </w:pPr>
      <w:r w:rsidRPr="002D2FDF">
        <w:rPr>
          <w:rFonts w:ascii="Times New Roman" w:hAnsi="Times New Roman"/>
          <w:lang w:val="pt-PT"/>
        </w:rPr>
        <w:t>Não tiverem sido apresentados os documentos comprovativos adequados; ou</w:t>
      </w:r>
    </w:p>
    <w:p w14:paraId="334CA5FC" w14:textId="77777777" w:rsidR="007A392C" w:rsidRPr="002D2FDF" w:rsidRDefault="00DF48E8">
      <w:pPr>
        <w:numPr>
          <w:ilvl w:val="0"/>
          <w:numId w:val="58"/>
        </w:numPr>
        <w:spacing w:before="120" w:after="120" w:line="240" w:lineRule="auto"/>
        <w:ind w:left="1315" w:hanging="357"/>
        <w:jc w:val="both"/>
        <w:rPr>
          <w:rFonts w:ascii="Times New Roman" w:hAnsi="Times New Roman"/>
          <w:sz w:val="24"/>
          <w:szCs w:val="24"/>
          <w:lang w:val="pt-PT"/>
        </w:rPr>
      </w:pPr>
      <w:r w:rsidRPr="002D2FDF">
        <w:rPr>
          <w:rFonts w:ascii="Times New Roman" w:hAnsi="Times New Roman"/>
          <w:lang w:val="pt-PT"/>
        </w:rPr>
        <w:t>Haver dúvidas sobre a elegibilidade dos custos declarados nas demonstrações financeiras e serem necessárias verificações, avaliações, auditorias ou inquéritos adicionais.</w:t>
      </w:r>
    </w:p>
    <w:p w14:paraId="1E887729"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b/>
          <w:lang w:val="pt-PT"/>
        </w:rPr>
        <w:t>II.24.2.2</w:t>
      </w:r>
      <w:r w:rsidRPr="002D2FDF">
        <w:rPr>
          <w:rFonts w:ascii="Times New Roman" w:hAnsi="Times New Roman"/>
          <w:lang w:val="pt-PT"/>
        </w:rPr>
        <w:t xml:space="preserve"> A Comissão deve enviar uma </w:t>
      </w:r>
      <w:r w:rsidRPr="002D2FDF">
        <w:rPr>
          <w:rFonts w:ascii="Times New Roman" w:hAnsi="Times New Roman"/>
          <w:i/>
          <w:lang w:val="pt-PT"/>
        </w:rPr>
        <w:t>notificação formal</w:t>
      </w:r>
      <w:r w:rsidRPr="002D2FDF">
        <w:rPr>
          <w:rFonts w:ascii="Times New Roman" w:hAnsi="Times New Roman"/>
          <w:lang w:val="pt-PT"/>
        </w:rPr>
        <w:t xml:space="preserve"> ao beneficiário, informando-o:</w:t>
      </w:r>
    </w:p>
    <w:p w14:paraId="745025BA" w14:textId="77777777" w:rsidR="007A392C" w:rsidRDefault="00DF48E8">
      <w:pPr>
        <w:numPr>
          <w:ilvl w:val="0"/>
          <w:numId w:val="109"/>
        </w:numPr>
        <w:spacing w:before="120" w:after="120" w:line="240" w:lineRule="auto"/>
        <w:jc w:val="both"/>
        <w:rPr>
          <w:rFonts w:ascii="Times New Roman" w:hAnsi="Times New Roman"/>
          <w:sz w:val="24"/>
          <w:szCs w:val="24"/>
        </w:rPr>
      </w:pPr>
      <w:r>
        <w:rPr>
          <w:rFonts w:ascii="Times New Roman" w:hAnsi="Times New Roman"/>
        </w:rPr>
        <w:t>Da suspensão; e</w:t>
      </w:r>
    </w:p>
    <w:p w14:paraId="41C43580" w14:textId="77777777" w:rsidR="007A392C" w:rsidRDefault="00DF48E8">
      <w:pPr>
        <w:numPr>
          <w:ilvl w:val="0"/>
          <w:numId w:val="109"/>
        </w:numPr>
        <w:spacing w:before="120" w:after="120" w:line="240" w:lineRule="auto"/>
        <w:ind w:left="1315" w:hanging="357"/>
        <w:jc w:val="both"/>
        <w:rPr>
          <w:rFonts w:ascii="Times New Roman" w:hAnsi="Times New Roman"/>
          <w:sz w:val="24"/>
          <w:szCs w:val="24"/>
        </w:rPr>
      </w:pPr>
      <w:r>
        <w:rPr>
          <w:rFonts w:ascii="Times New Roman" w:hAnsi="Times New Roman"/>
        </w:rPr>
        <w:t>Dos motivos da suspensão.</w:t>
      </w:r>
    </w:p>
    <w:p w14:paraId="1F453CC1" w14:textId="77777777" w:rsidR="007A392C" w:rsidRPr="002D2FDF" w:rsidRDefault="00DF48E8">
      <w:pPr>
        <w:spacing w:line="240" w:lineRule="auto"/>
        <w:ind w:left="960"/>
        <w:jc w:val="both"/>
        <w:rPr>
          <w:rFonts w:ascii="Times New Roman" w:hAnsi="Times New Roman"/>
          <w:sz w:val="24"/>
          <w:szCs w:val="24"/>
          <w:lang w:val="pt-PT"/>
        </w:rPr>
      </w:pPr>
      <w:r w:rsidRPr="002D2FDF">
        <w:rPr>
          <w:rFonts w:ascii="Times New Roman" w:hAnsi="Times New Roman"/>
          <w:lang w:val="pt-PT"/>
        </w:rPr>
        <w:t xml:space="preserve">A suspensão produz efeitos na data em que a Comissão envia a </w:t>
      </w:r>
      <w:r w:rsidRPr="002D2FDF">
        <w:rPr>
          <w:rFonts w:ascii="Times New Roman" w:hAnsi="Times New Roman"/>
          <w:i/>
          <w:lang w:val="pt-PT"/>
        </w:rPr>
        <w:t>notificação formal</w:t>
      </w:r>
      <w:r w:rsidRPr="002D2FDF">
        <w:rPr>
          <w:rFonts w:ascii="Times New Roman" w:hAnsi="Times New Roman"/>
          <w:lang w:val="pt-PT"/>
        </w:rPr>
        <w:t>.</w:t>
      </w:r>
    </w:p>
    <w:p w14:paraId="3E387601" w14:textId="77777777" w:rsidR="007A392C" w:rsidRPr="002D2FDF" w:rsidRDefault="00DF48E8">
      <w:pPr>
        <w:spacing w:line="240" w:lineRule="auto"/>
        <w:ind w:left="960" w:hanging="960"/>
        <w:jc w:val="both"/>
        <w:rPr>
          <w:rFonts w:ascii="Times New Roman" w:hAnsi="Times New Roman"/>
          <w:sz w:val="24"/>
          <w:szCs w:val="24"/>
          <w:lang w:val="pt-PT"/>
        </w:rPr>
      </w:pPr>
      <w:r w:rsidRPr="002D2FDF">
        <w:rPr>
          <w:rFonts w:ascii="Times New Roman" w:hAnsi="Times New Roman"/>
          <w:b/>
          <w:lang w:val="pt-PT"/>
        </w:rPr>
        <w:t>II.24.2.3</w:t>
      </w:r>
      <w:r w:rsidRPr="002D2FDF">
        <w:rPr>
          <w:rFonts w:ascii="Times New Roman" w:hAnsi="Times New Roman"/>
          <w:lang w:val="pt-PT"/>
        </w:rPr>
        <w:t xml:space="preserve"> Se as condições que levaram à suspensão do prazo de pagamento deixarem de se verificar, a suspensão é levantada e recomeça a contagem do período restante.</w:t>
      </w:r>
    </w:p>
    <w:p w14:paraId="1713DF8E"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Se a suspensão for superior a dois meses, o beneficiário pode solicitar à Comissão que decida sobre a continuação da suspensão.</w:t>
      </w:r>
    </w:p>
    <w:p w14:paraId="7074003B"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Se o prazo de pagamento tiver sido suspenso devido ao facto de os relatórios técnicos ou demonstrações financeiras não estarem conformes com a convenção e o novo relatório ou demonstração financeira não for apresentado, ou se for rejeitado, a Comissão pode resolver a convenção, como previsto no artigo II.17.2.1, alínea b), e reduzir o montante da subvenção, tal como previsto no artigo II.25.4.</w:t>
      </w:r>
    </w:p>
    <w:p w14:paraId="2D39D9BC" w14:textId="77777777" w:rsidR="007A392C" w:rsidRPr="002D2FDF" w:rsidRDefault="00DF48E8">
      <w:pPr>
        <w:pStyle w:val="Heading2"/>
        <w:rPr>
          <w:rFonts w:ascii="Times New Roman" w:hAnsi="Times New Roman"/>
          <w:lang w:val="pt-PT"/>
        </w:rPr>
      </w:pPr>
      <w:bookmarkStart w:id="101" w:name="_Toc441250872"/>
      <w:bookmarkStart w:id="102" w:name="_Toc446535915"/>
      <w:r w:rsidRPr="002D2FDF">
        <w:rPr>
          <w:rFonts w:ascii="Times New Roman" w:hAnsi="Times New Roman"/>
          <w:lang w:val="pt-PT"/>
        </w:rPr>
        <w:t>Artigo II.25 — Cálculo do montante final da subvenção</w:t>
      </w:r>
      <w:bookmarkEnd w:id="101"/>
      <w:bookmarkEnd w:id="102"/>
    </w:p>
    <w:p w14:paraId="1F62D658"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O montante final da subvenção depende da medida em que a </w:t>
      </w:r>
      <w:r w:rsidRPr="002D2FDF">
        <w:rPr>
          <w:rFonts w:ascii="Times New Roman" w:hAnsi="Times New Roman"/>
          <w:i/>
          <w:lang w:val="pt-PT"/>
        </w:rPr>
        <w:t>ação</w:t>
      </w:r>
      <w:r w:rsidRPr="002D2FDF">
        <w:rPr>
          <w:rFonts w:ascii="Times New Roman" w:hAnsi="Times New Roman"/>
          <w:lang w:val="pt-PT"/>
        </w:rPr>
        <w:t xml:space="preserve"> é efetivamente executada em conformidade com os termos da convenção.</w:t>
      </w:r>
    </w:p>
    <w:p w14:paraId="2DC5A7AA" w14:textId="77777777" w:rsidR="007A392C" w:rsidRPr="002D2FDF" w:rsidRDefault="00DF48E8">
      <w:pPr>
        <w:spacing w:line="240" w:lineRule="auto"/>
        <w:jc w:val="both"/>
        <w:rPr>
          <w:rFonts w:ascii="Times New Roman" w:hAnsi="Times New Roman"/>
          <w:bCs/>
          <w:sz w:val="24"/>
          <w:szCs w:val="24"/>
          <w:lang w:val="pt-PT"/>
        </w:rPr>
      </w:pPr>
      <w:r w:rsidRPr="002D2FDF">
        <w:rPr>
          <w:rFonts w:ascii="Times New Roman" w:hAnsi="Times New Roman"/>
          <w:lang w:val="pt-PT"/>
        </w:rPr>
        <w:t>O montante final da subvenção é calculado pela Comissão no momento do pagamento do saldo. O cálculo envolve os seguintes passos:</w:t>
      </w:r>
    </w:p>
    <w:p w14:paraId="12BDF95B" w14:textId="77777777" w:rsidR="007A392C" w:rsidRPr="002D2FDF" w:rsidRDefault="00DF48E8">
      <w:pPr>
        <w:spacing w:line="240" w:lineRule="auto"/>
        <w:ind w:left="567"/>
        <w:jc w:val="both"/>
        <w:rPr>
          <w:rFonts w:ascii="Times New Roman" w:hAnsi="Times New Roman"/>
          <w:sz w:val="24"/>
          <w:szCs w:val="24"/>
          <w:lang w:val="pt-PT"/>
        </w:rPr>
      </w:pPr>
      <w:r w:rsidRPr="002D2FDF">
        <w:rPr>
          <w:rFonts w:ascii="Times New Roman" w:hAnsi="Times New Roman"/>
          <w:lang w:val="pt-PT"/>
        </w:rPr>
        <w:t>Passo 1 — Aplicar a taxa de reembolso aos custos elegíveis e acrescentar as contribuições unitárias, de taxa fixa e de montante fixo</w:t>
      </w:r>
    </w:p>
    <w:p w14:paraId="1D13CE4F" w14:textId="77777777" w:rsidR="007A392C" w:rsidRPr="002D2FDF" w:rsidRDefault="00DF48E8">
      <w:pPr>
        <w:spacing w:line="240" w:lineRule="auto"/>
        <w:ind w:left="567"/>
        <w:jc w:val="both"/>
        <w:rPr>
          <w:rFonts w:ascii="Times New Roman" w:hAnsi="Times New Roman"/>
          <w:sz w:val="24"/>
          <w:szCs w:val="24"/>
          <w:lang w:val="pt-PT"/>
        </w:rPr>
      </w:pPr>
      <w:r w:rsidRPr="002D2FDF">
        <w:rPr>
          <w:rFonts w:ascii="Times New Roman" w:hAnsi="Times New Roman"/>
          <w:lang w:val="pt-PT"/>
        </w:rPr>
        <w:t xml:space="preserve">Passo 2 — Limite do </w:t>
      </w:r>
      <w:r w:rsidRPr="002D2FDF">
        <w:rPr>
          <w:rFonts w:ascii="Times New Roman" w:hAnsi="Times New Roman"/>
          <w:i/>
          <w:lang w:val="pt-PT"/>
        </w:rPr>
        <w:t>montante máximo da subvenção</w:t>
      </w:r>
    </w:p>
    <w:p w14:paraId="1BDE73A9" w14:textId="77777777" w:rsidR="007A392C" w:rsidRPr="002D2FDF" w:rsidRDefault="00DF48E8">
      <w:pPr>
        <w:spacing w:line="240" w:lineRule="auto"/>
        <w:ind w:left="567"/>
        <w:jc w:val="both"/>
        <w:rPr>
          <w:rFonts w:ascii="Times New Roman" w:hAnsi="Times New Roman"/>
          <w:sz w:val="24"/>
          <w:szCs w:val="24"/>
          <w:lang w:val="pt-PT"/>
        </w:rPr>
      </w:pPr>
      <w:r w:rsidRPr="002D2FDF">
        <w:rPr>
          <w:rFonts w:ascii="Times New Roman" w:hAnsi="Times New Roman"/>
          <w:lang w:val="pt-PT"/>
        </w:rPr>
        <w:t>Passo 3 — Aplicar a redução decorrente da regra de ausência de lucro</w:t>
      </w:r>
    </w:p>
    <w:p w14:paraId="4007CE65" w14:textId="77777777" w:rsidR="007A392C" w:rsidRPr="002D2FDF" w:rsidRDefault="00DF48E8">
      <w:pPr>
        <w:spacing w:line="240" w:lineRule="auto"/>
        <w:ind w:left="567"/>
        <w:jc w:val="both"/>
        <w:rPr>
          <w:rFonts w:ascii="Times New Roman" w:hAnsi="Times New Roman"/>
          <w:sz w:val="24"/>
          <w:szCs w:val="24"/>
          <w:lang w:val="pt-PT"/>
        </w:rPr>
      </w:pPr>
      <w:r w:rsidRPr="002D2FDF">
        <w:rPr>
          <w:rFonts w:ascii="Times New Roman" w:hAnsi="Times New Roman"/>
          <w:lang w:val="pt-PT"/>
        </w:rPr>
        <w:t>Passo 4 — Redução devido a execução incorreta ou incumprimento de outras obrigações</w:t>
      </w:r>
    </w:p>
    <w:p w14:paraId="0685D4C8" w14:textId="77777777" w:rsidR="007A392C" w:rsidRPr="002D2FDF" w:rsidRDefault="00DF48E8">
      <w:pPr>
        <w:pStyle w:val="Heading3"/>
        <w:jc w:val="both"/>
        <w:rPr>
          <w:rFonts w:ascii="Times New Roman" w:hAnsi="Times New Roman"/>
          <w:lang w:val="pt-PT"/>
        </w:rPr>
      </w:pPr>
      <w:bookmarkStart w:id="103" w:name="_Toc441250873"/>
      <w:bookmarkStart w:id="104" w:name="_Toc446535916"/>
      <w:r w:rsidRPr="002D2FDF">
        <w:rPr>
          <w:rFonts w:ascii="Times New Roman" w:hAnsi="Times New Roman"/>
          <w:lang w:val="pt-PT"/>
        </w:rPr>
        <w:t>II.25.1</w:t>
      </w:r>
      <w:r w:rsidRPr="002D2FDF">
        <w:rPr>
          <w:rFonts w:ascii="Times New Roman" w:hAnsi="Times New Roman"/>
          <w:lang w:val="pt-PT"/>
        </w:rPr>
        <w:tab/>
        <w:t xml:space="preserve"> Passo 1 — Aplicar a taxa de reembolso aos custos elegíveis e acrescentar as contribuições unitárias, de taxa fixa e de montante fixo</w:t>
      </w:r>
      <w:bookmarkEnd w:id="103"/>
      <w:bookmarkEnd w:id="104"/>
    </w:p>
    <w:p w14:paraId="5740B932"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Este passo é aplicado da seguinte forma:</w:t>
      </w:r>
    </w:p>
    <w:p w14:paraId="690DAA5F" w14:textId="58CFE8D9" w:rsidR="007A392C" w:rsidRPr="002D2FDF" w:rsidRDefault="00DF48E8">
      <w:pPr>
        <w:numPr>
          <w:ilvl w:val="0"/>
          <w:numId w:val="60"/>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Se, como previsto no artigo I.3.2, alínea a), subalínea i), a subvenção assumir a forma de reembolso de custos elegíveis, o montante será calculado aplicando a taxa de reembolso especificada nesse artigo aos custos elegíveis da </w:t>
      </w:r>
      <w:r w:rsidRPr="002D2FDF">
        <w:rPr>
          <w:rFonts w:ascii="Times New Roman" w:hAnsi="Times New Roman"/>
          <w:i/>
          <w:lang w:val="pt-PT"/>
        </w:rPr>
        <w:t>ação</w:t>
      </w:r>
      <w:r w:rsidRPr="002D2FDF">
        <w:rPr>
          <w:rFonts w:ascii="Times New Roman" w:hAnsi="Times New Roman"/>
          <w:lang w:val="pt-PT"/>
        </w:rPr>
        <w:t xml:space="preserve"> aprovados pela Comissão nas correspondentes categorias de custos, relativamente ao beneficiário e respetivas entidades afiliadas;</w:t>
      </w:r>
    </w:p>
    <w:p w14:paraId="4ACB29BC" w14:textId="3B24B9DA" w:rsidR="007A392C" w:rsidRPr="002D2FDF" w:rsidRDefault="00DF48E8">
      <w:pPr>
        <w:numPr>
          <w:ilvl w:val="0"/>
          <w:numId w:val="60"/>
        </w:numPr>
        <w:spacing w:before="100" w:beforeAutospacing="1" w:after="100" w:afterAutospacing="1" w:line="240" w:lineRule="auto"/>
        <w:ind w:left="851" w:hanging="567"/>
        <w:jc w:val="both"/>
        <w:rPr>
          <w:rFonts w:ascii="Times New Roman" w:hAnsi="Times New Roman"/>
          <w:sz w:val="24"/>
          <w:szCs w:val="24"/>
          <w:lang w:val="pt-PT"/>
        </w:rPr>
      </w:pPr>
      <w:r w:rsidRPr="002D2FDF">
        <w:rPr>
          <w:rFonts w:ascii="Times New Roman" w:hAnsi="Times New Roman"/>
          <w:lang w:val="pt-PT"/>
        </w:rPr>
        <w:t>Se, como previsto no artigo I.3.2, alínea a), subalíneas ii) a v), a subvenção assumir a forma de reembolso de custos unitários, custos de montante fixo ou custos de taxa fixa elegíveis, a taxa de reembolso especificada nesse artigo será aplicada aos custos elegíveis aprovados pela Comissão para as correspondentes categorias de custos, relativamente ao beneficiário e respetivas entidades afiliadas;</w:t>
      </w:r>
    </w:p>
    <w:p w14:paraId="5D64BE97" w14:textId="77777777" w:rsidR="007A392C" w:rsidRPr="002D2FDF" w:rsidRDefault="0037350C">
      <w:pPr>
        <w:pStyle w:val="ListParagraph"/>
        <w:spacing w:after="0" w:line="240" w:lineRule="auto"/>
        <w:jc w:val="both"/>
        <w:rPr>
          <w:rFonts w:ascii="Times New Roman" w:hAnsi="Times New Roman"/>
          <w:sz w:val="24"/>
          <w:szCs w:val="24"/>
          <w:lang w:val="pt-PT"/>
        </w:rPr>
      </w:pPr>
      <w:r w:rsidRPr="002D2FDF">
        <w:rPr>
          <w:rFonts w:ascii="Times New Roman" w:hAnsi="Times New Roman"/>
          <w:lang w:val="pt-PT"/>
        </w:rPr>
        <w:t>As horas de trabalho dos voluntários, declaradas como custos elegíveis diretos para os beneficiários e entidades afiliadas em causa, devem limitar-se ao montante que se segue, consoante a que for mais baixa:</w:t>
      </w:r>
    </w:p>
    <w:p w14:paraId="7CF09DB0" w14:textId="77777777" w:rsidR="007A392C" w:rsidRPr="002D2FDF" w:rsidRDefault="0037350C">
      <w:pPr>
        <w:pStyle w:val="ListParagraph"/>
        <w:spacing w:after="0" w:line="240" w:lineRule="auto"/>
        <w:jc w:val="both"/>
        <w:rPr>
          <w:rFonts w:ascii="Times New Roman" w:hAnsi="Times New Roman"/>
          <w:sz w:val="24"/>
          <w:szCs w:val="24"/>
          <w:lang w:val="pt-PT"/>
        </w:rPr>
      </w:pPr>
      <w:r w:rsidRPr="002D2FDF">
        <w:rPr>
          <w:rFonts w:ascii="Times New Roman" w:hAnsi="Times New Roman"/>
          <w:lang w:val="pt-PT"/>
        </w:rPr>
        <w:t>i)</w:t>
      </w:r>
      <w:r w:rsidRPr="002D2FDF">
        <w:rPr>
          <w:rFonts w:ascii="Times New Roman" w:hAnsi="Times New Roman"/>
          <w:lang w:val="pt-PT"/>
        </w:rPr>
        <w:tab/>
        <w:t>o total das fontes de financiamento, tal como indicadas na demonstração financeira final, e aceites pela Comissão, multiplicadas por 50 %; ou</w:t>
      </w:r>
    </w:p>
    <w:p w14:paraId="35DE6C4A" w14:textId="77777777" w:rsidR="007A392C" w:rsidRPr="002D2FDF" w:rsidRDefault="0037350C">
      <w:pPr>
        <w:pStyle w:val="ListParagraph"/>
        <w:spacing w:after="0" w:line="240" w:lineRule="auto"/>
        <w:jc w:val="both"/>
        <w:rPr>
          <w:rFonts w:ascii="Times New Roman" w:hAnsi="Times New Roman"/>
          <w:sz w:val="24"/>
          <w:szCs w:val="24"/>
          <w:lang w:val="pt-PT"/>
        </w:rPr>
      </w:pPr>
      <w:r w:rsidRPr="002D2FDF">
        <w:rPr>
          <w:rFonts w:ascii="Times New Roman" w:hAnsi="Times New Roman"/>
          <w:lang w:val="pt-PT"/>
        </w:rPr>
        <w:t>ii)</w:t>
      </w:r>
      <w:r w:rsidRPr="002D2FDF">
        <w:rPr>
          <w:rFonts w:ascii="Times New Roman" w:hAnsi="Times New Roman"/>
          <w:lang w:val="pt-PT"/>
        </w:rPr>
        <w:tab/>
        <w:t>o total de horas de trabalho dos voluntários indicado no orçamento previsional que consta do anexo II. .</w:t>
      </w:r>
    </w:p>
    <w:p w14:paraId="4A5B221D" w14:textId="77777777" w:rsidR="007A392C" w:rsidRPr="002D2FDF" w:rsidRDefault="007A392C">
      <w:pPr>
        <w:spacing w:before="100" w:beforeAutospacing="1" w:after="100" w:afterAutospacing="1" w:line="240" w:lineRule="auto"/>
        <w:ind w:left="851"/>
        <w:jc w:val="both"/>
        <w:rPr>
          <w:szCs w:val="24"/>
          <w:lang w:val="pt-PT"/>
        </w:rPr>
      </w:pPr>
    </w:p>
    <w:p w14:paraId="4C4DFE57" w14:textId="516649EE" w:rsidR="007A392C" w:rsidRPr="002D2FDF" w:rsidRDefault="007A392C">
      <w:pPr>
        <w:spacing w:before="100" w:beforeAutospacing="1" w:after="100" w:afterAutospacing="1" w:line="240" w:lineRule="auto"/>
        <w:ind w:left="720"/>
        <w:jc w:val="both"/>
        <w:rPr>
          <w:rFonts w:ascii="Times New Roman" w:hAnsi="Times New Roman"/>
          <w:sz w:val="24"/>
          <w:szCs w:val="24"/>
          <w:lang w:val="pt-PT"/>
        </w:rPr>
      </w:pPr>
    </w:p>
    <w:p w14:paraId="2F45CEFA" w14:textId="70C35D22" w:rsidR="007A392C" w:rsidRPr="002D2FDF" w:rsidRDefault="00DF48E8">
      <w:pPr>
        <w:numPr>
          <w:ilvl w:val="0"/>
          <w:numId w:val="60"/>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Se, como previsto no artigo I.3.2, alínea b), a subvenção assumir a forma de uma contribuição unitária, o montante será calculado multiplicando a contribuição unitária especificada nesse artigo pelo número efetivo de unidades aprovadas pela Comissão relativamente ao beneficiário e respetivas entidades afiliadas;</w:t>
      </w:r>
    </w:p>
    <w:p w14:paraId="11D8E4C8" w14:textId="77777777" w:rsidR="007A392C" w:rsidRPr="002D2FDF" w:rsidRDefault="007A392C">
      <w:pPr>
        <w:spacing w:before="100" w:beforeAutospacing="1" w:after="100" w:afterAutospacing="1" w:line="240" w:lineRule="auto"/>
        <w:ind w:left="720"/>
        <w:jc w:val="both"/>
        <w:rPr>
          <w:rFonts w:ascii="Times New Roman" w:hAnsi="Times New Roman"/>
          <w:sz w:val="24"/>
          <w:szCs w:val="24"/>
          <w:lang w:val="pt-PT"/>
        </w:rPr>
      </w:pPr>
    </w:p>
    <w:p w14:paraId="672324CC" w14:textId="687843FB" w:rsidR="007A392C" w:rsidRPr="002D2FDF" w:rsidRDefault="0037350C">
      <w:pPr>
        <w:numPr>
          <w:ilvl w:val="0"/>
          <w:numId w:val="60"/>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Se, como previsto no artigo I.3.2, alínea c), a subvenção assumir a forma de uma contribuição de montante fixo, a Comissão aplica o montante fixo especificado nesse artigo relativamente ao beneficiário e respetivas entidades afiliadas, se considerar que as correspondentes tarefas ou parte da </w:t>
      </w:r>
      <w:r w:rsidRPr="002D2FDF">
        <w:rPr>
          <w:rFonts w:ascii="Times New Roman" w:hAnsi="Times New Roman"/>
          <w:i/>
          <w:lang w:val="pt-PT"/>
        </w:rPr>
        <w:t>ação</w:t>
      </w:r>
      <w:r w:rsidRPr="002D2FDF">
        <w:rPr>
          <w:rFonts w:ascii="Times New Roman" w:hAnsi="Times New Roman"/>
          <w:lang w:val="pt-PT"/>
        </w:rPr>
        <w:t xml:space="preserve"> foram corretamente executadas em conformidade com o anexo II;</w:t>
      </w:r>
    </w:p>
    <w:p w14:paraId="5B3BB801" w14:textId="77777777" w:rsidR="007A392C" w:rsidRPr="002D2FDF" w:rsidRDefault="007A392C">
      <w:pPr>
        <w:pStyle w:val="ListParagraph"/>
        <w:rPr>
          <w:rFonts w:ascii="Times New Roman" w:hAnsi="Times New Roman"/>
          <w:sz w:val="24"/>
          <w:szCs w:val="24"/>
          <w:lang w:val="pt-PT"/>
        </w:rPr>
      </w:pPr>
    </w:p>
    <w:p w14:paraId="68D4DDAE" w14:textId="77777777" w:rsidR="007A392C" w:rsidRPr="002D2FDF" w:rsidRDefault="007A392C">
      <w:pPr>
        <w:spacing w:before="100" w:beforeAutospacing="1" w:after="100" w:afterAutospacing="1" w:line="240" w:lineRule="auto"/>
        <w:ind w:left="720"/>
        <w:jc w:val="both"/>
        <w:rPr>
          <w:rFonts w:ascii="Times New Roman" w:hAnsi="Times New Roman"/>
          <w:sz w:val="24"/>
          <w:szCs w:val="24"/>
          <w:lang w:val="pt-PT"/>
        </w:rPr>
      </w:pPr>
    </w:p>
    <w:p w14:paraId="036895A9" w14:textId="77777777" w:rsidR="007A392C" w:rsidRPr="002D2FDF" w:rsidRDefault="00DF48E8">
      <w:pPr>
        <w:numPr>
          <w:ilvl w:val="0"/>
          <w:numId w:val="60"/>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Se, como previsto no artigo I.3.2, alínea d), a subvenção assumir a forma de uma contribuição de taxa fixa, esta taxa será aplicada aos custos elegíveis ou à contribuição aprovada pela Comissão relativamente ao beneficiário e respetivas entidades afiliadas.</w:t>
      </w:r>
    </w:p>
    <w:p w14:paraId="60347F5A" w14:textId="590699C1" w:rsidR="007A392C" w:rsidRPr="002D2FDF" w:rsidRDefault="0037350C">
      <w:pPr>
        <w:numPr>
          <w:ilvl w:val="0"/>
          <w:numId w:val="60"/>
        </w:numPr>
        <w:spacing w:before="240" w:line="240" w:lineRule="auto"/>
        <w:ind w:left="851" w:hanging="567"/>
        <w:jc w:val="both"/>
        <w:rPr>
          <w:rFonts w:ascii="Times New Roman" w:hAnsi="Times New Roman"/>
          <w:sz w:val="24"/>
          <w:szCs w:val="24"/>
          <w:lang w:val="pt-PT"/>
        </w:rPr>
      </w:pPr>
      <w:r w:rsidRPr="002D2FDF">
        <w:rPr>
          <w:rFonts w:ascii="Times New Roman" w:hAnsi="Times New Roman"/>
          <w:lang w:val="pt-PT"/>
        </w:rPr>
        <w:t xml:space="preserve"> Se, como previsto no artigo I.3.2, alínea e), a subvenção assumir a forma de financiamento não associado a custos, a Comissão aplica o montante especificado no referido artigo para os beneficiários e entidades afiliadas correspondentes, se verificar que [as condições especificadas no anexo I foram cumpridas] [e] [os resultados especificados no anexo I foram alcançados].</w:t>
      </w:r>
    </w:p>
    <w:p w14:paraId="4A47941B" w14:textId="59B15722" w:rsidR="007A392C" w:rsidRPr="002D2FDF" w:rsidRDefault="007A392C">
      <w:pPr>
        <w:spacing w:before="100" w:beforeAutospacing="1" w:after="100" w:afterAutospacing="1" w:line="240" w:lineRule="auto"/>
        <w:ind w:left="720"/>
        <w:jc w:val="both"/>
        <w:rPr>
          <w:rFonts w:ascii="Times New Roman" w:hAnsi="Times New Roman"/>
          <w:sz w:val="24"/>
          <w:szCs w:val="24"/>
          <w:lang w:val="pt-PT"/>
        </w:rPr>
      </w:pPr>
    </w:p>
    <w:p w14:paraId="37099C29"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Se o artigo I.3.2 previr uma combinação de diferentes formas de subvenções, esses montantes devem ser somados.</w:t>
      </w:r>
    </w:p>
    <w:p w14:paraId="06B8AE42" w14:textId="0FF1ACCF" w:rsidR="007A392C" w:rsidRPr="002D2FDF" w:rsidRDefault="00DF48E8">
      <w:pPr>
        <w:pStyle w:val="Heading3"/>
        <w:jc w:val="both"/>
        <w:rPr>
          <w:rFonts w:ascii="Times New Roman" w:hAnsi="Times New Roman"/>
          <w:lang w:val="pt-PT"/>
        </w:rPr>
      </w:pPr>
      <w:bookmarkStart w:id="105" w:name="_Toc441250874"/>
      <w:bookmarkStart w:id="106" w:name="_Toc446535917"/>
      <w:r w:rsidRPr="002D2FDF">
        <w:rPr>
          <w:rFonts w:ascii="Times New Roman" w:hAnsi="Times New Roman"/>
          <w:lang w:val="pt-PT"/>
        </w:rPr>
        <w:t>II.25.2</w:t>
      </w:r>
      <w:r w:rsidRPr="002D2FDF">
        <w:rPr>
          <w:rFonts w:ascii="Times New Roman" w:hAnsi="Times New Roman"/>
          <w:lang w:val="pt-PT"/>
        </w:rPr>
        <w:tab/>
        <w:t xml:space="preserve"> Passo 2 —</w:t>
      </w:r>
      <w:r w:rsidR="002D2FDF">
        <w:rPr>
          <w:rFonts w:ascii="Times New Roman" w:hAnsi="Times New Roman"/>
          <w:lang w:val="pt-PT"/>
        </w:rPr>
        <w:t xml:space="preserve"> </w:t>
      </w:r>
      <w:r w:rsidRPr="002D2FDF">
        <w:rPr>
          <w:rFonts w:ascii="Times New Roman" w:hAnsi="Times New Roman"/>
          <w:lang w:val="pt-PT"/>
        </w:rPr>
        <w:t xml:space="preserve">Limite </w:t>
      </w:r>
      <w:r w:rsidR="002D2FDF" w:rsidRPr="002D2FDF">
        <w:rPr>
          <w:rFonts w:ascii="Times New Roman" w:hAnsi="Times New Roman"/>
          <w:lang w:val="pt-PT"/>
        </w:rPr>
        <w:t xml:space="preserve">do </w:t>
      </w:r>
      <w:r w:rsidR="002D2FDF" w:rsidRPr="002D2FDF">
        <w:rPr>
          <w:rFonts w:ascii="Times New Roman" w:hAnsi="Times New Roman"/>
          <w:i/>
          <w:lang w:val="pt-PT"/>
        </w:rPr>
        <w:t>montante</w:t>
      </w:r>
      <w:r w:rsidRPr="002D2FDF">
        <w:rPr>
          <w:rFonts w:ascii="Times New Roman" w:hAnsi="Times New Roman"/>
          <w:i/>
          <w:lang w:val="pt-PT"/>
        </w:rPr>
        <w:t xml:space="preserve"> máximo da subvenção</w:t>
      </w:r>
      <w:bookmarkEnd w:id="105"/>
      <w:bookmarkEnd w:id="106"/>
    </w:p>
    <w:p w14:paraId="7601D9E3"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O montante total pago ao beneficiário pela Comissão não pode, em circunstância alguma, exceder o </w:t>
      </w:r>
      <w:r w:rsidRPr="002D2FDF">
        <w:rPr>
          <w:rFonts w:ascii="Times New Roman" w:hAnsi="Times New Roman"/>
          <w:i/>
          <w:lang w:val="pt-PT"/>
        </w:rPr>
        <w:t>montante máximo da subvenção</w:t>
      </w:r>
      <w:r w:rsidRPr="002D2FDF">
        <w:rPr>
          <w:rFonts w:ascii="Times New Roman" w:hAnsi="Times New Roman"/>
          <w:lang w:val="pt-PT"/>
        </w:rPr>
        <w:t>.</w:t>
      </w:r>
    </w:p>
    <w:p w14:paraId="4010D758" w14:textId="54903405"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Se o montante obtido após o passo 1 for superior ao montante máximo da subvenção, será limitado a este último.</w:t>
      </w:r>
    </w:p>
    <w:p w14:paraId="3B2881DA" w14:textId="63DBE87D" w:rsidR="007A392C" w:rsidRPr="002D2FDF" w:rsidRDefault="006F4E30">
      <w:pPr>
        <w:spacing w:line="240" w:lineRule="auto"/>
        <w:jc w:val="both"/>
        <w:rPr>
          <w:rFonts w:ascii="Times New Roman" w:hAnsi="Times New Roman"/>
          <w:sz w:val="24"/>
          <w:szCs w:val="24"/>
          <w:lang w:val="pt-PT"/>
        </w:rPr>
      </w:pPr>
      <w:r w:rsidRPr="002D2FDF">
        <w:rPr>
          <w:rFonts w:ascii="Times New Roman" w:hAnsi="Times New Roman"/>
          <w:lang w:val="pt-PT"/>
        </w:rPr>
        <w:t>Se as horas de trabalho dos voluntários forem declaradas como parte dos custos elegíveis diretos, o montante final da subvenção é limitado ao montante total dos custos elegíveis e das contribuições aprovados pela Comissão menos o número de horas de trabalho dos voluntários aprovado pela Comissão.</w:t>
      </w:r>
    </w:p>
    <w:p w14:paraId="61222ACD" w14:textId="77777777" w:rsidR="007A392C" w:rsidRPr="002D2FDF" w:rsidRDefault="00DF48E8">
      <w:pPr>
        <w:pStyle w:val="Heading3"/>
        <w:jc w:val="both"/>
        <w:rPr>
          <w:rFonts w:ascii="Times New Roman" w:hAnsi="Times New Roman"/>
          <w:lang w:val="pt-PT"/>
        </w:rPr>
      </w:pPr>
      <w:bookmarkStart w:id="107" w:name="_Toc441250875"/>
      <w:bookmarkStart w:id="108" w:name="_Toc446535918"/>
      <w:r w:rsidRPr="002D2FDF">
        <w:rPr>
          <w:rFonts w:ascii="Times New Roman" w:hAnsi="Times New Roman"/>
          <w:lang w:val="pt-PT"/>
        </w:rPr>
        <w:t>II.25.3</w:t>
      </w:r>
      <w:r w:rsidRPr="002D2FDF">
        <w:rPr>
          <w:rFonts w:ascii="Times New Roman" w:hAnsi="Times New Roman"/>
          <w:lang w:val="pt-PT"/>
        </w:rPr>
        <w:tab/>
        <w:t xml:space="preserve"> Passo 3 — Aplicar a redução decorrente da regra de ausência de lucro</w:t>
      </w:r>
      <w:bookmarkEnd w:id="107"/>
      <w:bookmarkEnd w:id="108"/>
    </w:p>
    <w:p w14:paraId="76D0E086" w14:textId="38662F11"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A subvenção não pode gerar lucros para o beneficiário, salvo disposição em contrário nas condições especiais.</w:t>
      </w:r>
    </w:p>
    <w:p w14:paraId="06E8204C" w14:textId="77777777" w:rsidR="007A392C" w:rsidRPr="002D2FDF" w:rsidRDefault="006F4E30">
      <w:p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O lucro deve ser calculado do seguinte modo:</w:t>
      </w:r>
    </w:p>
    <w:p w14:paraId="122BACE6" w14:textId="77777777" w:rsidR="007A392C" w:rsidRPr="002D2FDF" w:rsidRDefault="006F4E30">
      <w:pPr>
        <w:spacing w:before="100" w:beforeAutospacing="1" w:after="240" w:line="240" w:lineRule="auto"/>
        <w:ind w:left="851" w:hanging="567"/>
        <w:jc w:val="both"/>
        <w:rPr>
          <w:rFonts w:ascii="Times New Roman" w:hAnsi="Times New Roman"/>
          <w:sz w:val="24"/>
          <w:szCs w:val="24"/>
          <w:lang w:val="pt-PT"/>
        </w:rPr>
      </w:pPr>
      <w:r w:rsidRPr="002D2FDF">
        <w:rPr>
          <w:rFonts w:ascii="Times New Roman" w:hAnsi="Times New Roman"/>
          <w:lang w:val="pt-PT"/>
        </w:rPr>
        <w:t>a)</w:t>
      </w:r>
      <w:r w:rsidRPr="002D2FDF">
        <w:rPr>
          <w:rFonts w:ascii="Times New Roman" w:hAnsi="Times New Roman"/>
          <w:lang w:val="pt-PT"/>
        </w:rPr>
        <w:tab/>
        <w:t>Calcular o excedente das receitas totais da ação relativamente aos custos totais elegíveis da ação, do seguinte modo:</w:t>
      </w:r>
    </w:p>
    <w:p w14:paraId="3094AA41" w14:textId="77777777" w:rsidR="007A392C" w:rsidRPr="002D2FDF" w:rsidRDefault="006F4E30">
      <w:pPr>
        <w:spacing w:after="240" w:line="240" w:lineRule="auto"/>
        <w:ind w:left="1135" w:hanging="284"/>
        <w:jc w:val="both"/>
        <w:rPr>
          <w:rFonts w:ascii="Times New Roman" w:hAnsi="Times New Roman"/>
          <w:sz w:val="24"/>
          <w:szCs w:val="24"/>
          <w:lang w:val="pt-PT"/>
        </w:rPr>
      </w:pPr>
      <w:r w:rsidRPr="002D2FDF">
        <w:rPr>
          <w:rFonts w:ascii="Times New Roman" w:hAnsi="Times New Roman"/>
          <w:lang w:val="pt-PT"/>
        </w:rPr>
        <w:t>{</w:t>
      </w:r>
      <w:r w:rsidRPr="002D2FDF">
        <w:rPr>
          <w:rFonts w:ascii="Times New Roman" w:hAnsi="Times New Roman"/>
          <w:lang w:val="pt-PT"/>
        </w:rPr>
        <w:tab/>
        <w:t xml:space="preserve">as receitas da ação </w:t>
      </w:r>
    </w:p>
    <w:p w14:paraId="52544A04" w14:textId="77777777" w:rsidR="007A392C" w:rsidRPr="002D2FDF" w:rsidRDefault="006F4E30">
      <w:pPr>
        <w:spacing w:after="240" w:line="240" w:lineRule="auto"/>
        <w:ind w:left="1134"/>
        <w:jc w:val="both"/>
        <w:rPr>
          <w:rFonts w:ascii="Times New Roman" w:hAnsi="Times New Roman"/>
          <w:sz w:val="24"/>
          <w:szCs w:val="24"/>
          <w:lang w:val="pt-PT"/>
        </w:rPr>
      </w:pPr>
      <w:r w:rsidRPr="002D2FDF">
        <w:rPr>
          <w:rFonts w:ascii="Times New Roman" w:hAnsi="Times New Roman"/>
          <w:lang w:val="pt-PT"/>
        </w:rPr>
        <w:t xml:space="preserve">menos </w:t>
      </w:r>
    </w:p>
    <w:p w14:paraId="06A86375" w14:textId="77777777" w:rsidR="007A392C" w:rsidRPr="002D2FDF" w:rsidRDefault="006F4E30">
      <w:pPr>
        <w:spacing w:after="0" w:line="240" w:lineRule="auto"/>
        <w:ind w:left="1134"/>
        <w:jc w:val="both"/>
        <w:rPr>
          <w:rFonts w:ascii="Times New Roman" w:hAnsi="Times New Roman"/>
          <w:sz w:val="24"/>
          <w:szCs w:val="24"/>
          <w:lang w:val="pt-PT"/>
        </w:rPr>
      </w:pPr>
      <w:r w:rsidRPr="002D2FDF">
        <w:rPr>
          <w:rFonts w:ascii="Times New Roman" w:hAnsi="Times New Roman"/>
          <w:lang w:val="pt-PT"/>
        </w:rPr>
        <w:t>os custos totais elegíveis consolidados e contribuições aprovados pela Comissão correspondentes aos montantes determinados em conformidade com o artigo II.25.1</w:t>
      </w:r>
      <w:r w:rsidRPr="002D2FDF">
        <w:rPr>
          <w:rFonts w:ascii="Times New Roman" w:hAnsi="Times New Roman"/>
          <w:lang w:val="pt-PT"/>
        </w:rPr>
        <w:br/>
      </w:r>
      <w:r w:rsidRPr="002D2FDF">
        <w:rPr>
          <w:rFonts w:ascii="Times New Roman" w:hAnsi="Times New Roman"/>
          <w:lang w:val="pt-PT"/>
        </w:rPr>
        <w:tab/>
      </w:r>
      <w:r w:rsidRPr="002D2FDF">
        <w:rPr>
          <w:rFonts w:ascii="Times New Roman" w:hAnsi="Times New Roman"/>
          <w:lang w:val="pt-PT"/>
        </w:rPr>
        <w:br/>
        <w:t>}</w:t>
      </w:r>
    </w:p>
    <w:p w14:paraId="04FC377B" w14:textId="77777777" w:rsidR="007A392C" w:rsidRPr="002D2FDF" w:rsidRDefault="006F4E30">
      <w:pPr>
        <w:spacing w:before="240" w:after="240" w:line="240" w:lineRule="auto"/>
        <w:ind w:left="284"/>
        <w:jc w:val="both"/>
        <w:rPr>
          <w:rFonts w:ascii="Times New Roman" w:hAnsi="Times New Roman"/>
          <w:sz w:val="24"/>
          <w:szCs w:val="24"/>
          <w:lang w:val="pt-PT"/>
        </w:rPr>
      </w:pPr>
      <w:r w:rsidRPr="002D2FDF">
        <w:rPr>
          <w:rFonts w:ascii="Times New Roman" w:hAnsi="Times New Roman"/>
          <w:lang w:val="pt-PT"/>
        </w:rPr>
        <w:t>As receitas da ação são calculadas da seguinte forma:</w:t>
      </w:r>
    </w:p>
    <w:p w14:paraId="5AE91118" w14:textId="77777777" w:rsidR="007A392C" w:rsidRPr="002D2FDF" w:rsidRDefault="006F4E30">
      <w:pPr>
        <w:spacing w:after="240" w:line="240" w:lineRule="auto"/>
        <w:ind w:left="1135" w:hanging="284"/>
        <w:jc w:val="both"/>
        <w:rPr>
          <w:rFonts w:ascii="Times New Roman" w:hAnsi="Times New Roman"/>
          <w:sz w:val="24"/>
          <w:szCs w:val="24"/>
          <w:lang w:val="pt-PT"/>
        </w:rPr>
      </w:pPr>
      <w:r w:rsidRPr="002D2FDF">
        <w:rPr>
          <w:rFonts w:ascii="Times New Roman" w:hAnsi="Times New Roman"/>
          <w:lang w:val="pt-PT"/>
        </w:rPr>
        <w:t>{</w:t>
      </w:r>
      <w:r w:rsidRPr="002D2FDF">
        <w:rPr>
          <w:rFonts w:ascii="Times New Roman" w:hAnsi="Times New Roman"/>
          <w:lang w:val="pt-PT"/>
        </w:rPr>
        <w:tab/>
        <w:t>As receitas geradas pela ação para lucro do beneficiário e das respetivas entidades afiliadas que não sejam organizações sem fins lucrativos</w:t>
      </w:r>
    </w:p>
    <w:p w14:paraId="3A41B463" w14:textId="77777777" w:rsidR="007A392C" w:rsidRPr="002D2FDF" w:rsidRDefault="006F4E30">
      <w:pPr>
        <w:spacing w:after="240" w:line="240" w:lineRule="auto"/>
        <w:ind w:left="1134"/>
        <w:jc w:val="both"/>
        <w:rPr>
          <w:rFonts w:ascii="Times New Roman" w:hAnsi="Times New Roman"/>
          <w:sz w:val="24"/>
          <w:szCs w:val="24"/>
          <w:lang w:val="pt-PT"/>
        </w:rPr>
      </w:pPr>
      <w:r w:rsidRPr="002D2FDF">
        <w:rPr>
          <w:rFonts w:ascii="Times New Roman" w:hAnsi="Times New Roman"/>
          <w:lang w:val="pt-PT"/>
        </w:rPr>
        <w:t xml:space="preserve">mais </w:t>
      </w:r>
    </w:p>
    <w:p w14:paraId="05B21EAC" w14:textId="77777777" w:rsidR="007A392C" w:rsidRPr="002D2FDF" w:rsidRDefault="006F4E30">
      <w:pPr>
        <w:spacing w:after="0" w:line="240" w:lineRule="auto"/>
        <w:ind w:left="1134"/>
        <w:jc w:val="both"/>
        <w:rPr>
          <w:rFonts w:ascii="Times New Roman" w:hAnsi="Times New Roman"/>
          <w:sz w:val="24"/>
          <w:szCs w:val="24"/>
          <w:lang w:val="pt-PT"/>
        </w:rPr>
      </w:pPr>
      <w:r w:rsidRPr="002D2FDF">
        <w:rPr>
          <w:rFonts w:ascii="Times New Roman" w:hAnsi="Times New Roman"/>
          <w:lang w:val="pt-PT"/>
        </w:rPr>
        <w:t>o montante obtido após os passos 1 e 2</w:t>
      </w:r>
      <w:r w:rsidRPr="002D2FDF">
        <w:rPr>
          <w:rFonts w:ascii="Times New Roman" w:hAnsi="Times New Roman"/>
          <w:lang w:val="pt-PT"/>
        </w:rPr>
        <w:tab/>
        <w:t>}</w:t>
      </w:r>
    </w:p>
    <w:p w14:paraId="1D4F64C2" w14:textId="77777777" w:rsidR="007A392C" w:rsidRPr="002D2FDF" w:rsidRDefault="006F4E30">
      <w:pPr>
        <w:spacing w:before="100" w:beforeAutospacing="1" w:after="100" w:afterAutospacing="1" w:line="240" w:lineRule="auto"/>
        <w:ind w:left="851"/>
        <w:jc w:val="both"/>
        <w:rPr>
          <w:rFonts w:ascii="Times New Roman" w:hAnsi="Times New Roman"/>
          <w:sz w:val="24"/>
          <w:szCs w:val="24"/>
          <w:lang w:val="pt-PT"/>
        </w:rPr>
      </w:pPr>
      <w:r w:rsidRPr="002D2FDF">
        <w:rPr>
          <w:rFonts w:ascii="Times New Roman" w:hAnsi="Times New Roman"/>
          <w:lang w:val="pt-PT"/>
        </w:rPr>
        <w:t>As receitas geradas pela ação correspondem às receitas consolidadas apuradas, geradas ou confirmadas para o beneficiário e respetivas entidades afiliadas que não sejam organizações sem fins lucrativos na data em que o pedido de pagamento do saldo é efetuado pelo beneficiário.</w:t>
      </w:r>
    </w:p>
    <w:p w14:paraId="09D929C4" w14:textId="77777777" w:rsidR="007A392C" w:rsidRDefault="006F4E30">
      <w:pPr>
        <w:spacing w:before="100" w:beforeAutospacing="1" w:after="0" w:line="240" w:lineRule="auto"/>
        <w:jc w:val="both"/>
        <w:rPr>
          <w:rFonts w:ascii="Times New Roman" w:hAnsi="Times New Roman"/>
          <w:sz w:val="24"/>
          <w:szCs w:val="24"/>
        </w:rPr>
      </w:pPr>
      <w:r>
        <w:rPr>
          <w:rFonts w:ascii="Times New Roman" w:hAnsi="Times New Roman"/>
        </w:rPr>
        <w:t>Não são consideradas receitas:</w:t>
      </w:r>
    </w:p>
    <w:p w14:paraId="6B23FC06" w14:textId="77777777" w:rsidR="007A392C" w:rsidRPr="002D2FDF" w:rsidRDefault="006F4E30">
      <w:pPr>
        <w:numPr>
          <w:ilvl w:val="1"/>
          <w:numId w:val="117"/>
        </w:numPr>
        <w:spacing w:after="100" w:afterAutospacing="1" w:line="240" w:lineRule="auto"/>
        <w:ind w:left="1418" w:hanging="567"/>
        <w:jc w:val="both"/>
        <w:rPr>
          <w:rFonts w:ascii="Times New Roman" w:hAnsi="Times New Roman"/>
          <w:sz w:val="24"/>
          <w:szCs w:val="24"/>
          <w:lang w:val="pt-PT"/>
        </w:rPr>
      </w:pPr>
      <w:r w:rsidRPr="002D2FDF">
        <w:rPr>
          <w:rFonts w:ascii="Times New Roman" w:hAnsi="Times New Roman"/>
          <w:lang w:val="pt-PT"/>
        </w:rPr>
        <w:t xml:space="preserve">as contribuições em espécie e financeiras efetuadas por terceiros, </w:t>
      </w:r>
    </w:p>
    <w:p w14:paraId="5E885861" w14:textId="77777777" w:rsidR="007A392C" w:rsidRPr="002D2FDF" w:rsidRDefault="006F4E30">
      <w:pPr>
        <w:numPr>
          <w:ilvl w:val="1"/>
          <w:numId w:val="117"/>
        </w:numPr>
        <w:spacing w:before="100" w:beforeAutospacing="1" w:after="100" w:afterAutospacing="1" w:line="240" w:lineRule="auto"/>
        <w:ind w:left="1418" w:hanging="567"/>
        <w:jc w:val="both"/>
        <w:rPr>
          <w:rFonts w:ascii="Times New Roman" w:hAnsi="Times New Roman"/>
          <w:sz w:val="24"/>
          <w:szCs w:val="24"/>
          <w:lang w:val="pt-PT"/>
        </w:rPr>
      </w:pPr>
      <w:r w:rsidRPr="002D2FDF">
        <w:rPr>
          <w:rFonts w:ascii="Times New Roman" w:hAnsi="Times New Roman"/>
          <w:lang w:val="pt-PT"/>
        </w:rPr>
        <w:t>no caso de uma subvenção de funcionamento, os montantes afetados à constituição de reservas.</w:t>
      </w:r>
    </w:p>
    <w:p w14:paraId="2FB37827" w14:textId="77777777" w:rsidR="007A392C" w:rsidRPr="002D2FDF" w:rsidRDefault="006F4E30">
      <w:pPr>
        <w:pStyle w:val="ListParagraph"/>
        <w:numPr>
          <w:ilvl w:val="0"/>
          <w:numId w:val="118"/>
        </w:numPr>
        <w:spacing w:before="100" w:beforeAutospacing="1" w:after="100" w:afterAutospacing="1" w:line="240" w:lineRule="auto"/>
        <w:ind w:left="851" w:hanging="567"/>
        <w:jc w:val="both"/>
        <w:rPr>
          <w:rFonts w:ascii="Times New Roman" w:hAnsi="Times New Roman"/>
          <w:sz w:val="24"/>
          <w:szCs w:val="24"/>
          <w:lang w:val="pt-PT"/>
        </w:rPr>
      </w:pPr>
      <w:r w:rsidRPr="002D2FDF">
        <w:rPr>
          <w:rFonts w:ascii="Times New Roman" w:hAnsi="Times New Roman"/>
          <w:lang w:val="pt-PT"/>
        </w:rPr>
        <w:t xml:space="preserve">Se o montante calculado nos termos da alínea a) for positivo, deve ser deduzido do montante obtido nos passos 1 e 2, proporcionalmente à taxa final de reembolso dos custos elegíveis efetivos da ação aprovados pela Comissão para as categorias de custos mencionadas no artigo I.3.2, alínea a), subalínea i). </w:t>
      </w:r>
    </w:p>
    <w:p w14:paraId="432882FB" w14:textId="77777777" w:rsidR="007A392C" w:rsidRPr="002D2FDF" w:rsidRDefault="007A392C">
      <w:pPr>
        <w:spacing w:line="240" w:lineRule="auto"/>
        <w:jc w:val="both"/>
        <w:rPr>
          <w:rFonts w:ascii="Times New Roman" w:hAnsi="Times New Roman"/>
          <w:sz w:val="24"/>
          <w:szCs w:val="24"/>
          <w:lang w:val="pt-PT"/>
        </w:rPr>
      </w:pPr>
    </w:p>
    <w:p w14:paraId="310D81E2" w14:textId="77777777" w:rsidR="007A392C" w:rsidRPr="002D2FDF" w:rsidRDefault="00DF48E8">
      <w:pPr>
        <w:pStyle w:val="Heading3"/>
        <w:jc w:val="both"/>
        <w:rPr>
          <w:rFonts w:ascii="Times New Roman" w:hAnsi="Times New Roman"/>
          <w:lang w:val="pt-PT"/>
        </w:rPr>
      </w:pPr>
      <w:bookmarkStart w:id="109" w:name="_Toc441250876"/>
      <w:bookmarkStart w:id="110" w:name="_Toc446535919"/>
      <w:r w:rsidRPr="002D2FDF">
        <w:rPr>
          <w:rFonts w:ascii="Times New Roman" w:hAnsi="Times New Roman"/>
          <w:lang w:val="pt-PT"/>
        </w:rPr>
        <w:t>II.25.4</w:t>
      </w:r>
      <w:r w:rsidRPr="002D2FDF">
        <w:rPr>
          <w:rFonts w:ascii="Times New Roman" w:hAnsi="Times New Roman"/>
          <w:lang w:val="pt-PT"/>
        </w:rPr>
        <w:tab/>
        <w:t xml:space="preserve"> Passo 4 — Redução devido a execução incorreta ou incumprimento de outras obrigações</w:t>
      </w:r>
      <w:bookmarkEnd w:id="109"/>
      <w:bookmarkEnd w:id="110"/>
    </w:p>
    <w:p w14:paraId="6E3C9756"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A Comissão pode reduzir o </w:t>
      </w:r>
      <w:r w:rsidRPr="002D2FDF">
        <w:rPr>
          <w:rFonts w:ascii="Times New Roman" w:hAnsi="Times New Roman"/>
          <w:i/>
          <w:lang w:val="pt-PT"/>
        </w:rPr>
        <w:t>montante máximo da subvenção</w:t>
      </w:r>
      <w:r w:rsidRPr="002D2FDF">
        <w:rPr>
          <w:rFonts w:ascii="Times New Roman" w:hAnsi="Times New Roman"/>
          <w:lang w:val="pt-PT"/>
        </w:rPr>
        <w:t xml:space="preserve">, caso a </w:t>
      </w:r>
      <w:r w:rsidRPr="002D2FDF">
        <w:rPr>
          <w:rFonts w:ascii="Times New Roman" w:hAnsi="Times New Roman"/>
          <w:i/>
          <w:lang w:val="pt-PT"/>
        </w:rPr>
        <w:t>ação</w:t>
      </w:r>
      <w:r w:rsidRPr="002D2FDF">
        <w:rPr>
          <w:rFonts w:ascii="Times New Roman" w:hAnsi="Times New Roman"/>
          <w:lang w:val="pt-PT"/>
        </w:rPr>
        <w:t xml:space="preserve"> não tenha sido corretamente executada, tal como previsto no anexo II (ou seja, no caso de não ter sido executada ou ter sido executada incorreta, parcial ou tardiamente) ou em caso de incumprimento de outra obrigação ao abrigo da convenção.</w:t>
      </w:r>
    </w:p>
    <w:p w14:paraId="2586AF16"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O valor da redução será proporcional ao nível de incorreção da execução da </w:t>
      </w:r>
      <w:r w:rsidRPr="002D2FDF">
        <w:rPr>
          <w:rFonts w:ascii="Times New Roman" w:hAnsi="Times New Roman"/>
          <w:i/>
          <w:lang w:val="pt-PT"/>
        </w:rPr>
        <w:t>ação</w:t>
      </w:r>
      <w:r w:rsidRPr="002D2FDF">
        <w:rPr>
          <w:rFonts w:ascii="Times New Roman" w:hAnsi="Times New Roman"/>
          <w:lang w:val="pt-PT"/>
        </w:rPr>
        <w:t xml:space="preserve"> e à gravidade do incumprimento das obrigações.</w:t>
      </w:r>
    </w:p>
    <w:p w14:paraId="3AF7A7C0"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Antes de reduzir a subvenção, a Comissão deve enviar uma </w:t>
      </w:r>
      <w:r w:rsidRPr="002D2FDF">
        <w:rPr>
          <w:rFonts w:ascii="Times New Roman" w:hAnsi="Times New Roman"/>
          <w:i/>
          <w:lang w:val="pt-PT"/>
        </w:rPr>
        <w:t>notificação formal</w:t>
      </w:r>
      <w:r w:rsidRPr="002D2FDF">
        <w:rPr>
          <w:rFonts w:ascii="Times New Roman" w:hAnsi="Times New Roman"/>
          <w:lang w:val="pt-PT"/>
        </w:rPr>
        <w:t xml:space="preserve"> ao beneficiário:</w:t>
      </w:r>
    </w:p>
    <w:p w14:paraId="49EB3289" w14:textId="77777777" w:rsidR="007A392C" w:rsidRDefault="00DF48E8">
      <w:pPr>
        <w:numPr>
          <w:ilvl w:val="0"/>
          <w:numId w:val="62"/>
        </w:numPr>
        <w:spacing w:before="100" w:beforeAutospacing="1" w:after="100" w:afterAutospacing="1" w:line="240" w:lineRule="auto"/>
        <w:jc w:val="both"/>
        <w:rPr>
          <w:rFonts w:ascii="Times New Roman" w:hAnsi="Times New Roman"/>
          <w:sz w:val="24"/>
          <w:szCs w:val="24"/>
        </w:rPr>
      </w:pPr>
      <w:r>
        <w:rPr>
          <w:rFonts w:ascii="Times New Roman" w:hAnsi="Times New Roman"/>
        </w:rPr>
        <w:t>Informando-o:</w:t>
      </w:r>
    </w:p>
    <w:p w14:paraId="5EFE9E0A" w14:textId="77777777" w:rsidR="007A392C" w:rsidRPr="002D2FDF" w:rsidRDefault="00DF48E8">
      <w:pPr>
        <w:numPr>
          <w:ilvl w:val="0"/>
          <w:numId w:val="63"/>
        </w:numPr>
        <w:spacing w:before="100" w:beforeAutospacing="1" w:after="100" w:afterAutospacing="1" w:line="240" w:lineRule="auto"/>
        <w:ind w:left="1276" w:hanging="567"/>
        <w:jc w:val="both"/>
        <w:rPr>
          <w:rFonts w:ascii="Times New Roman" w:hAnsi="Times New Roman"/>
          <w:sz w:val="24"/>
          <w:szCs w:val="24"/>
          <w:lang w:val="pt-PT"/>
        </w:rPr>
      </w:pPr>
      <w:r w:rsidRPr="002D2FDF">
        <w:rPr>
          <w:rFonts w:ascii="Times New Roman" w:hAnsi="Times New Roman"/>
          <w:lang w:val="pt-PT"/>
        </w:rPr>
        <w:t xml:space="preserve">de que tenciona reduzir o </w:t>
      </w:r>
      <w:r w:rsidRPr="002D2FDF">
        <w:rPr>
          <w:rFonts w:ascii="Times New Roman" w:hAnsi="Times New Roman"/>
          <w:i/>
          <w:lang w:val="pt-PT"/>
        </w:rPr>
        <w:t>montante máximo da subvenção</w:t>
      </w:r>
      <w:r w:rsidRPr="002D2FDF">
        <w:rPr>
          <w:rFonts w:ascii="Times New Roman" w:hAnsi="Times New Roman"/>
          <w:lang w:val="pt-PT"/>
        </w:rPr>
        <w:t>;</w:t>
      </w:r>
    </w:p>
    <w:p w14:paraId="6901D187" w14:textId="77777777" w:rsidR="007A392C" w:rsidRPr="002D2FDF" w:rsidRDefault="00DF48E8">
      <w:pPr>
        <w:numPr>
          <w:ilvl w:val="0"/>
          <w:numId w:val="63"/>
        </w:numPr>
        <w:spacing w:before="100" w:beforeAutospacing="1" w:after="100" w:afterAutospacing="1" w:line="240" w:lineRule="auto"/>
        <w:ind w:left="1276" w:hanging="567"/>
        <w:jc w:val="both"/>
        <w:rPr>
          <w:rFonts w:ascii="Times New Roman" w:hAnsi="Times New Roman"/>
          <w:sz w:val="24"/>
          <w:szCs w:val="24"/>
          <w:lang w:val="pt-PT"/>
        </w:rPr>
      </w:pPr>
      <w:r w:rsidRPr="002D2FDF">
        <w:rPr>
          <w:rFonts w:ascii="Times New Roman" w:hAnsi="Times New Roman"/>
          <w:lang w:val="pt-PT"/>
        </w:rPr>
        <w:t>do montante em que tenciona reduzir a subvenção;</w:t>
      </w:r>
    </w:p>
    <w:p w14:paraId="05D01777" w14:textId="77777777" w:rsidR="007A392C" w:rsidRDefault="00DF48E8">
      <w:pPr>
        <w:numPr>
          <w:ilvl w:val="0"/>
          <w:numId w:val="63"/>
        </w:numPr>
        <w:spacing w:before="100" w:beforeAutospacing="1" w:after="100" w:afterAutospacing="1" w:line="240" w:lineRule="auto"/>
        <w:ind w:left="1276" w:hanging="567"/>
        <w:jc w:val="both"/>
        <w:rPr>
          <w:rFonts w:ascii="Times New Roman" w:hAnsi="Times New Roman"/>
          <w:sz w:val="24"/>
          <w:szCs w:val="24"/>
        </w:rPr>
      </w:pPr>
      <w:r>
        <w:rPr>
          <w:rFonts w:ascii="Times New Roman" w:hAnsi="Times New Roman"/>
        </w:rPr>
        <w:t>dos motivos da redução; e</w:t>
      </w:r>
    </w:p>
    <w:p w14:paraId="1B20E788" w14:textId="77777777" w:rsidR="007A392C" w:rsidRPr="002D2FDF" w:rsidRDefault="00DF48E8">
      <w:pPr>
        <w:numPr>
          <w:ilvl w:val="0"/>
          <w:numId w:val="62"/>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 xml:space="preserve"> Convidando-o a apresentar as suas observações no prazo de 30 dias de calendário a contar da receção da notificação formal.</w:t>
      </w:r>
    </w:p>
    <w:p w14:paraId="585F01D4"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Se a Comissão não receber observações ou decidir aplicar a redução apesar das observações recebidas, deve enviar ao beneficiário uma </w:t>
      </w:r>
      <w:r w:rsidRPr="002D2FDF">
        <w:rPr>
          <w:rFonts w:ascii="Times New Roman" w:hAnsi="Times New Roman"/>
          <w:i/>
          <w:lang w:val="pt-PT"/>
        </w:rPr>
        <w:t>notificação formal</w:t>
      </w:r>
      <w:r w:rsidRPr="002D2FDF">
        <w:rPr>
          <w:rFonts w:ascii="Times New Roman" w:hAnsi="Times New Roman"/>
          <w:lang w:val="pt-PT"/>
        </w:rPr>
        <w:t xml:space="preserve"> informando-o da sua decisão.</w:t>
      </w:r>
    </w:p>
    <w:p w14:paraId="4FD60F69"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Se a subvenção for reduzida, a Comissão deve calcular o montante da subvenção reduzida deduzindo o montante da redução (calculado proporcionalmente à execução incorreta da </w:t>
      </w:r>
      <w:r w:rsidRPr="002D2FDF">
        <w:rPr>
          <w:rFonts w:ascii="Times New Roman" w:hAnsi="Times New Roman"/>
          <w:i/>
          <w:lang w:val="pt-PT"/>
        </w:rPr>
        <w:t>ação</w:t>
      </w:r>
      <w:r w:rsidRPr="002D2FDF">
        <w:rPr>
          <w:rFonts w:ascii="Times New Roman" w:hAnsi="Times New Roman"/>
          <w:lang w:val="pt-PT"/>
        </w:rPr>
        <w:t xml:space="preserve"> ou à gravidade do </w:t>
      </w:r>
      <w:r w:rsidRPr="002D2FDF">
        <w:rPr>
          <w:rFonts w:ascii="Times New Roman" w:hAnsi="Times New Roman"/>
          <w:i/>
          <w:lang w:val="pt-PT"/>
        </w:rPr>
        <w:t>incumprimento das obrigações</w:t>
      </w:r>
      <w:r w:rsidRPr="002D2FDF">
        <w:rPr>
          <w:rFonts w:ascii="Times New Roman" w:hAnsi="Times New Roman"/>
          <w:lang w:val="pt-PT"/>
        </w:rPr>
        <w:t xml:space="preserve">) ao </w:t>
      </w:r>
      <w:r w:rsidRPr="002D2FDF">
        <w:rPr>
          <w:rFonts w:ascii="Times New Roman" w:hAnsi="Times New Roman"/>
          <w:i/>
          <w:lang w:val="pt-PT"/>
        </w:rPr>
        <w:t>montante máximo da subvenção</w:t>
      </w:r>
      <w:r w:rsidRPr="002D2FDF">
        <w:rPr>
          <w:rFonts w:ascii="Times New Roman" w:hAnsi="Times New Roman"/>
          <w:lang w:val="pt-PT"/>
        </w:rPr>
        <w:t>.</w:t>
      </w:r>
    </w:p>
    <w:p w14:paraId="621A107A"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O montante final da subvenção será o menor dos dois valores seguintes:</w:t>
      </w:r>
    </w:p>
    <w:p w14:paraId="1CF6F04A" w14:textId="77777777" w:rsidR="007A392C" w:rsidRPr="002D2FDF" w:rsidRDefault="00DF48E8">
      <w:pPr>
        <w:numPr>
          <w:ilvl w:val="0"/>
          <w:numId w:val="64"/>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O montante obtido após os passos 1 a 3; ou</w:t>
      </w:r>
    </w:p>
    <w:p w14:paraId="486D03CD" w14:textId="77777777" w:rsidR="007A392C" w:rsidRPr="002D2FDF" w:rsidRDefault="00DF48E8">
      <w:pPr>
        <w:numPr>
          <w:ilvl w:val="0"/>
          <w:numId w:val="64"/>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O montante da subvenção reduzida após o passo 4.</w:t>
      </w:r>
    </w:p>
    <w:p w14:paraId="19379CCD" w14:textId="77777777" w:rsidR="007A392C" w:rsidRPr="002D2FDF" w:rsidRDefault="00DF48E8">
      <w:pPr>
        <w:pStyle w:val="Heading2"/>
        <w:rPr>
          <w:rFonts w:ascii="Times New Roman" w:hAnsi="Times New Roman"/>
          <w:lang w:val="pt-PT"/>
        </w:rPr>
      </w:pPr>
      <w:bookmarkStart w:id="111" w:name="_Toc441250877"/>
      <w:bookmarkStart w:id="112" w:name="_Toc446535920"/>
      <w:r w:rsidRPr="002D2FDF">
        <w:rPr>
          <w:rFonts w:ascii="Times New Roman" w:hAnsi="Times New Roman"/>
          <w:lang w:val="pt-PT"/>
        </w:rPr>
        <w:t>Artigo II.26 — Recuperação</w:t>
      </w:r>
      <w:bookmarkEnd w:id="111"/>
      <w:bookmarkEnd w:id="112"/>
    </w:p>
    <w:p w14:paraId="05872956" w14:textId="77777777" w:rsidR="007A392C" w:rsidRPr="002D2FDF" w:rsidRDefault="00DF48E8">
      <w:pPr>
        <w:spacing w:line="240" w:lineRule="auto"/>
        <w:rPr>
          <w:rFonts w:ascii="Times New Roman" w:hAnsi="Times New Roman"/>
          <w:sz w:val="24"/>
          <w:szCs w:val="24"/>
          <w:lang w:val="pt-PT"/>
        </w:rPr>
      </w:pPr>
      <w:bookmarkStart w:id="113" w:name="_Toc441250878"/>
      <w:r w:rsidRPr="002D2FDF">
        <w:rPr>
          <w:rFonts w:ascii="Times New Roman" w:hAnsi="Times New Roman"/>
          <w:b/>
          <w:lang w:val="pt-PT"/>
        </w:rPr>
        <w:t>II.26.1</w:t>
      </w:r>
      <w:r w:rsidRPr="002D2FDF">
        <w:rPr>
          <w:rFonts w:ascii="Times New Roman" w:hAnsi="Times New Roman"/>
          <w:b/>
          <w:lang w:val="pt-PT"/>
        </w:rPr>
        <w:tab/>
        <w:t>Recuperação</w:t>
      </w:r>
      <w:r w:rsidRPr="002D2FDF">
        <w:rPr>
          <w:rFonts w:ascii="Times New Roman" w:hAnsi="Times New Roman"/>
          <w:lang w:val="pt-PT"/>
        </w:rPr>
        <w:t xml:space="preserve"> </w:t>
      </w:r>
    </w:p>
    <w:bookmarkEnd w:id="113"/>
    <w:p w14:paraId="2D4978F2" w14:textId="77777777" w:rsidR="007A392C" w:rsidRPr="002D2FDF" w:rsidRDefault="00DF48E8">
      <w:pPr>
        <w:spacing w:line="240" w:lineRule="auto"/>
        <w:rPr>
          <w:rFonts w:ascii="Times New Roman" w:hAnsi="Times New Roman"/>
          <w:sz w:val="24"/>
          <w:szCs w:val="24"/>
          <w:lang w:val="pt-PT"/>
        </w:rPr>
      </w:pPr>
      <w:r w:rsidRPr="002D2FDF">
        <w:rPr>
          <w:rFonts w:ascii="Times New Roman" w:hAnsi="Times New Roman"/>
          <w:lang w:val="pt-PT"/>
        </w:rPr>
        <w:t xml:space="preserve">Quando for necessário recuperar um montante nos termos da convenção, o beneficiário deve reembolsar à Comissão o montante em questão.  </w:t>
      </w:r>
    </w:p>
    <w:p w14:paraId="76B1B84C" w14:textId="77777777" w:rsidR="007A392C" w:rsidRPr="002D2FDF" w:rsidRDefault="00DF48E8">
      <w:pPr>
        <w:spacing w:after="240" w:line="240" w:lineRule="auto"/>
        <w:jc w:val="both"/>
        <w:rPr>
          <w:rFonts w:ascii="Times New Roman" w:hAnsi="Times New Roman"/>
          <w:bCs/>
          <w:sz w:val="24"/>
          <w:szCs w:val="24"/>
          <w:lang w:val="pt-PT"/>
        </w:rPr>
      </w:pPr>
      <w:r w:rsidRPr="002D2FDF">
        <w:rPr>
          <w:rFonts w:ascii="Times New Roman" w:hAnsi="Times New Roman"/>
          <w:bCs/>
          <w:lang w:val="pt-PT"/>
        </w:rPr>
        <w:t>O beneficiário é responsável pelo reembolso de qualquer montante pago indevidamente pela Comissão como contribuição para os custos incorridos pelas respetivas entidades afiliadas.</w:t>
      </w:r>
    </w:p>
    <w:p w14:paraId="1AF83A64" w14:textId="722AA39E" w:rsidR="007A392C" w:rsidRPr="002D2FDF" w:rsidRDefault="00DF48E8">
      <w:pPr>
        <w:pStyle w:val="Heading3"/>
        <w:jc w:val="both"/>
        <w:rPr>
          <w:rFonts w:ascii="Times New Roman" w:hAnsi="Times New Roman"/>
          <w:lang w:val="pt-PT"/>
        </w:rPr>
      </w:pPr>
      <w:bookmarkStart w:id="114" w:name="_Toc441250880"/>
      <w:bookmarkStart w:id="115" w:name="_Toc446535921"/>
      <w:r w:rsidRPr="002D2FDF">
        <w:rPr>
          <w:rFonts w:ascii="Times New Roman" w:hAnsi="Times New Roman"/>
          <w:bCs/>
          <w:lang w:val="pt-PT"/>
        </w:rPr>
        <w:t>II.26.2</w:t>
      </w:r>
      <w:r w:rsidRPr="002D2FDF">
        <w:rPr>
          <w:rFonts w:ascii="Times New Roman" w:hAnsi="Times New Roman"/>
          <w:lang w:val="pt-PT"/>
        </w:rPr>
        <w:tab/>
        <w:t>Procedimento de recuperação</w:t>
      </w:r>
      <w:bookmarkEnd w:id="114"/>
      <w:bookmarkEnd w:id="115"/>
    </w:p>
    <w:p w14:paraId="3FE4CEB1"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lang w:val="pt-PT"/>
        </w:rPr>
        <w:t xml:space="preserve">Antes da recuperação, a Comissão deve enviar uma </w:t>
      </w:r>
      <w:r w:rsidRPr="002D2FDF">
        <w:rPr>
          <w:rFonts w:ascii="Times New Roman" w:hAnsi="Times New Roman"/>
          <w:i/>
          <w:lang w:val="pt-PT"/>
        </w:rPr>
        <w:t>notificação formal</w:t>
      </w:r>
      <w:r w:rsidRPr="002D2FDF">
        <w:rPr>
          <w:rFonts w:ascii="Times New Roman" w:hAnsi="Times New Roman"/>
          <w:lang w:val="pt-PT"/>
        </w:rPr>
        <w:t xml:space="preserve"> ao beneficiário:</w:t>
      </w:r>
    </w:p>
    <w:p w14:paraId="47DA3743" w14:textId="77777777" w:rsidR="007A392C" w:rsidRPr="002D2FDF" w:rsidRDefault="00DF48E8">
      <w:pPr>
        <w:numPr>
          <w:ilvl w:val="0"/>
          <w:numId w:val="65"/>
        </w:numPr>
        <w:spacing w:before="120" w:after="120" w:line="240" w:lineRule="auto"/>
        <w:jc w:val="both"/>
        <w:rPr>
          <w:rFonts w:ascii="Times New Roman" w:hAnsi="Times New Roman"/>
          <w:sz w:val="24"/>
          <w:szCs w:val="24"/>
          <w:lang w:val="pt-PT"/>
        </w:rPr>
      </w:pPr>
      <w:r w:rsidRPr="002D2FDF">
        <w:rPr>
          <w:rFonts w:ascii="Times New Roman" w:hAnsi="Times New Roman"/>
          <w:lang w:val="pt-PT"/>
        </w:rPr>
        <w:t>Informando-o de que tenciona proceder à recuperação do montante indevidamente pago;</w:t>
      </w:r>
    </w:p>
    <w:p w14:paraId="1986F2D0" w14:textId="77777777" w:rsidR="007A392C" w:rsidRPr="002D2FDF" w:rsidRDefault="00DF48E8">
      <w:pPr>
        <w:numPr>
          <w:ilvl w:val="0"/>
          <w:numId w:val="65"/>
        </w:numPr>
        <w:spacing w:before="120" w:after="120" w:line="240" w:lineRule="auto"/>
        <w:jc w:val="both"/>
        <w:rPr>
          <w:rFonts w:ascii="Times New Roman" w:hAnsi="Times New Roman"/>
          <w:sz w:val="24"/>
          <w:szCs w:val="24"/>
          <w:lang w:val="pt-PT"/>
        </w:rPr>
      </w:pPr>
      <w:r w:rsidRPr="002D2FDF">
        <w:rPr>
          <w:rFonts w:ascii="Times New Roman" w:hAnsi="Times New Roman"/>
          <w:lang w:val="pt-PT"/>
        </w:rPr>
        <w:t>Especificando o montante em dívida e os motivos da recuperação; e</w:t>
      </w:r>
    </w:p>
    <w:p w14:paraId="691DD77F" w14:textId="77777777" w:rsidR="007A392C" w:rsidRPr="002D2FDF" w:rsidRDefault="00DF48E8">
      <w:pPr>
        <w:numPr>
          <w:ilvl w:val="0"/>
          <w:numId w:val="65"/>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Convidando o beneficiário a apresentar observações num prazo específico.</w:t>
      </w:r>
    </w:p>
    <w:p w14:paraId="38E11D58"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Se não forem apresentadas observações ou se, apesar das observações apresentadas pelo beneficiário, a Comissão decidir prosseguir com a recuperação, a Comissão pode confirmar a recuperação mediante uma </w:t>
      </w:r>
      <w:r w:rsidRPr="002D2FDF">
        <w:rPr>
          <w:rFonts w:ascii="Times New Roman" w:hAnsi="Times New Roman"/>
          <w:i/>
          <w:lang w:val="pt-PT"/>
        </w:rPr>
        <w:t>notificação formal</w:t>
      </w:r>
      <w:r w:rsidRPr="002D2FDF">
        <w:rPr>
          <w:rFonts w:ascii="Times New Roman" w:hAnsi="Times New Roman"/>
          <w:lang w:val="pt-PT"/>
        </w:rPr>
        <w:t xml:space="preserve"> ao beneficiário através de numa nota de débito, especificando os termos e a data do pagamento.</w:t>
      </w:r>
    </w:p>
    <w:p w14:paraId="2F2F9CA0"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Se o pagamento não for efetuado até à data especificada na nota de débito, a Comissão procederá à recuperação do montante devido:</w:t>
      </w:r>
    </w:p>
    <w:p w14:paraId="50986FEE" w14:textId="77777777" w:rsidR="007A392C" w:rsidRPr="002D2FDF" w:rsidRDefault="00DF48E8">
      <w:pPr>
        <w:numPr>
          <w:ilvl w:val="0"/>
          <w:numId w:val="66"/>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Por compensação, sem necessidade de consentimento prévio do beneficiário, contra quaisquer montantes devidos ao beneficiário pela Comissão ou por uma agência de execução [a partir do orçamento da União ou da Comunidade Europeia da Energia Atómica (Euratom)] («compensação»);</w:t>
      </w:r>
    </w:p>
    <w:p w14:paraId="030AD415" w14:textId="77777777" w:rsidR="007A392C" w:rsidRPr="002D2FDF" w:rsidRDefault="00DF48E8">
      <w:pPr>
        <w:spacing w:line="240" w:lineRule="auto"/>
        <w:ind w:left="709"/>
        <w:jc w:val="both"/>
        <w:rPr>
          <w:rFonts w:ascii="Times New Roman" w:hAnsi="Times New Roman"/>
          <w:sz w:val="24"/>
          <w:szCs w:val="24"/>
          <w:lang w:val="pt-PT"/>
        </w:rPr>
      </w:pPr>
      <w:r w:rsidRPr="002D2FDF">
        <w:rPr>
          <w:rFonts w:ascii="Times New Roman" w:hAnsi="Times New Roman"/>
          <w:lang w:val="pt-PT"/>
        </w:rPr>
        <w:t>Em circunstâncias excecionais, justificadas pela necessidade de salvaguardar os interesses financeiros da União, a Comissão pode recuperar os montantes através de compensação antes da data devida.</w:t>
      </w:r>
    </w:p>
    <w:p w14:paraId="5176DC34" w14:textId="77777777" w:rsidR="007A392C" w:rsidRPr="002D2FDF" w:rsidRDefault="00DF48E8">
      <w:pPr>
        <w:spacing w:after="0" w:line="240" w:lineRule="auto"/>
        <w:ind w:left="709"/>
        <w:jc w:val="both"/>
        <w:rPr>
          <w:rFonts w:ascii="Times New Roman" w:hAnsi="Times New Roman"/>
          <w:sz w:val="24"/>
          <w:szCs w:val="24"/>
          <w:lang w:val="pt-PT"/>
        </w:rPr>
      </w:pPr>
      <w:r w:rsidRPr="002D2FDF">
        <w:rPr>
          <w:rFonts w:ascii="Times New Roman" w:hAnsi="Times New Roman"/>
          <w:lang w:val="pt-PT"/>
        </w:rPr>
        <w:t>Pode ser interposta uma ação contra essa compensação junto do Tribunal Geral da União Europeia, em conformidade com o artigo 263.º do TFUE;</w:t>
      </w:r>
    </w:p>
    <w:p w14:paraId="57EAA809" w14:textId="77777777" w:rsidR="007A392C" w:rsidRPr="002D2FDF" w:rsidRDefault="00DF48E8">
      <w:pPr>
        <w:numPr>
          <w:ilvl w:val="0"/>
          <w:numId w:val="66"/>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Pelo acionamento da garantia financeira, se estiver prevista no artigo I.4.2 («acionamento da garantia financeira»);</w:t>
      </w:r>
    </w:p>
    <w:p w14:paraId="603D3663" w14:textId="77777777" w:rsidR="007A392C" w:rsidRPr="002D2FDF" w:rsidRDefault="00DF48E8">
      <w:pPr>
        <w:numPr>
          <w:ilvl w:val="0"/>
          <w:numId w:val="66"/>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Através de uma ação judicial, nos termos do artigo II.18.2 ou das condições específicas, adotando uma decisão executória nos termos do artigo II.18.3.</w:t>
      </w:r>
    </w:p>
    <w:p w14:paraId="275C5AFE" w14:textId="77777777" w:rsidR="007A392C" w:rsidRPr="002D2FDF" w:rsidRDefault="00DF48E8">
      <w:pPr>
        <w:pStyle w:val="Heading3"/>
        <w:jc w:val="both"/>
        <w:rPr>
          <w:rFonts w:ascii="Times New Roman" w:hAnsi="Times New Roman"/>
          <w:lang w:val="pt-PT"/>
        </w:rPr>
      </w:pPr>
      <w:bookmarkStart w:id="116" w:name="_Toc441250881"/>
      <w:bookmarkStart w:id="117" w:name="_Toc446535922"/>
      <w:r w:rsidRPr="002D2FDF">
        <w:rPr>
          <w:rFonts w:ascii="Times New Roman" w:hAnsi="Times New Roman"/>
          <w:lang w:val="pt-PT"/>
        </w:rPr>
        <w:t>II.26.3</w:t>
      </w:r>
      <w:r w:rsidRPr="002D2FDF">
        <w:rPr>
          <w:rFonts w:ascii="Times New Roman" w:hAnsi="Times New Roman"/>
          <w:lang w:val="pt-PT"/>
        </w:rPr>
        <w:tab/>
        <w:t>Juros de mora</w:t>
      </w:r>
      <w:bookmarkEnd w:id="116"/>
      <w:bookmarkEnd w:id="117"/>
    </w:p>
    <w:p w14:paraId="1D1B92C0"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Se o pagamento não for efetuado até à data fixada na nota de débito, o montante a recuperar é acrescido de juros de mora, à taxa indicada no artigo I.4.13, a partir do dia seguinte à data de pagamento fixada na nota de débito, até à data, inclusive, em que a Comissão receber o pagamento integral do montante.</w:t>
      </w:r>
    </w:p>
    <w:p w14:paraId="45D9865F"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Os pagamentos parciais devem ser imputados primeiramente às despesas, encargos e juros de mora e em seguida ao capital.</w:t>
      </w:r>
    </w:p>
    <w:p w14:paraId="4504D44F" w14:textId="77777777" w:rsidR="007A392C" w:rsidRPr="002D2FDF" w:rsidRDefault="00DF48E8">
      <w:pPr>
        <w:pStyle w:val="Heading3"/>
        <w:jc w:val="both"/>
        <w:rPr>
          <w:rFonts w:ascii="Times New Roman" w:hAnsi="Times New Roman"/>
          <w:lang w:val="pt-PT"/>
        </w:rPr>
      </w:pPr>
      <w:bookmarkStart w:id="118" w:name="_Toc441250882"/>
      <w:bookmarkStart w:id="119" w:name="_Toc446535923"/>
      <w:r w:rsidRPr="002D2FDF">
        <w:rPr>
          <w:rFonts w:ascii="Times New Roman" w:hAnsi="Times New Roman"/>
          <w:lang w:val="pt-PT"/>
        </w:rPr>
        <w:t>II.26.4</w:t>
      </w:r>
      <w:r w:rsidRPr="002D2FDF">
        <w:rPr>
          <w:rFonts w:ascii="Times New Roman" w:hAnsi="Times New Roman"/>
          <w:lang w:val="pt-PT"/>
        </w:rPr>
        <w:tab/>
        <w:t>Encargos bancários</w:t>
      </w:r>
      <w:bookmarkEnd w:id="118"/>
      <w:bookmarkEnd w:id="119"/>
    </w:p>
    <w:p w14:paraId="6551C6D2" w14:textId="2457239B"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Os encargos bancários incorridos no processo de recuperação devem ser assumidos pelo beneficiário, a não ser que seja aplicável a </w:t>
      </w:r>
      <w:r w:rsidRPr="002D2FDF">
        <w:rPr>
          <w:rFonts w:ascii="Times New Roman" w:hAnsi="Times New Roman"/>
          <w:bCs/>
          <w:lang w:val="pt-PT"/>
        </w:rPr>
        <w:t>Diretiva 2007/64/CE</w:t>
      </w:r>
      <w:r>
        <w:rPr>
          <w:rStyle w:val="FootnoteReference"/>
          <w:rFonts w:ascii="Times New Roman" w:hAnsi="Times New Roman"/>
          <w:bCs/>
        </w:rPr>
        <w:footnoteReference w:id="4"/>
      </w:r>
      <w:r w:rsidRPr="002D2FDF">
        <w:rPr>
          <w:bCs/>
          <w:lang w:val="pt-PT"/>
        </w:rPr>
        <w:t>.</w:t>
      </w:r>
    </w:p>
    <w:p w14:paraId="0D454441" w14:textId="77777777" w:rsidR="007A392C" w:rsidRPr="002D2FDF" w:rsidRDefault="00DF48E8">
      <w:pPr>
        <w:pStyle w:val="Heading2"/>
        <w:rPr>
          <w:rFonts w:ascii="Times New Roman" w:hAnsi="Times New Roman"/>
          <w:lang w:val="pt-PT"/>
        </w:rPr>
      </w:pPr>
      <w:bookmarkStart w:id="120" w:name="_Toc441250883"/>
      <w:bookmarkStart w:id="121" w:name="_Toc446535924"/>
      <w:r w:rsidRPr="002D2FDF">
        <w:rPr>
          <w:rFonts w:ascii="Times New Roman" w:hAnsi="Times New Roman"/>
          <w:lang w:val="pt-PT"/>
        </w:rPr>
        <w:t>Artigo II.27 — Verificações, auditorias e avaliação</w:t>
      </w:r>
      <w:bookmarkEnd w:id="120"/>
      <w:bookmarkEnd w:id="121"/>
    </w:p>
    <w:p w14:paraId="35581C8C" w14:textId="3D4C53D7" w:rsidR="007A392C" w:rsidRPr="002D2FDF" w:rsidRDefault="00DF48E8">
      <w:pPr>
        <w:pStyle w:val="Heading3"/>
        <w:jc w:val="both"/>
        <w:rPr>
          <w:rFonts w:ascii="Times New Roman" w:hAnsi="Times New Roman"/>
          <w:lang w:val="pt-PT"/>
        </w:rPr>
      </w:pPr>
      <w:bookmarkStart w:id="122" w:name="_Toc441250884"/>
      <w:bookmarkStart w:id="123" w:name="_Toc446535925"/>
      <w:r w:rsidRPr="002D2FDF">
        <w:rPr>
          <w:rFonts w:ascii="Times New Roman" w:hAnsi="Times New Roman"/>
          <w:lang w:val="pt-PT"/>
        </w:rPr>
        <w:t>II.27.1</w:t>
      </w:r>
      <w:r w:rsidRPr="002D2FDF">
        <w:rPr>
          <w:rFonts w:ascii="Times New Roman" w:hAnsi="Times New Roman"/>
          <w:lang w:val="pt-PT"/>
        </w:rPr>
        <w:tab/>
        <w:t>Verificações técnicas e financeiras, auditorias e avaliações intercalares e finais</w:t>
      </w:r>
      <w:bookmarkEnd w:id="122"/>
      <w:bookmarkEnd w:id="123"/>
    </w:p>
    <w:p w14:paraId="104C03C6"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A Comissão pode, durante a execução da </w:t>
      </w:r>
      <w:r w:rsidRPr="002D2FDF">
        <w:rPr>
          <w:rFonts w:ascii="Times New Roman" w:hAnsi="Times New Roman"/>
          <w:i/>
          <w:lang w:val="pt-PT"/>
        </w:rPr>
        <w:t>ação</w:t>
      </w:r>
      <w:r w:rsidRPr="002D2FDF">
        <w:rPr>
          <w:rFonts w:ascii="Times New Roman" w:hAnsi="Times New Roman"/>
          <w:lang w:val="pt-PT"/>
        </w:rPr>
        <w:t xml:space="preserve"> ou posteriormente, efetuar verificações e auditorias técnicas e financeiras para determinar se o beneficiário está a executar corretamente a </w:t>
      </w:r>
      <w:r w:rsidRPr="002D2FDF">
        <w:rPr>
          <w:rFonts w:ascii="Times New Roman" w:hAnsi="Times New Roman"/>
          <w:i/>
          <w:lang w:val="pt-PT"/>
        </w:rPr>
        <w:t>ação</w:t>
      </w:r>
      <w:r w:rsidRPr="002D2FDF">
        <w:rPr>
          <w:rFonts w:ascii="Times New Roman" w:hAnsi="Times New Roman"/>
          <w:lang w:val="pt-PT"/>
        </w:rPr>
        <w:t xml:space="preserve"> e a respeitar as obrigações decorrentes da convenção. Também pode verificar os registos do beneficiário para efeitos de avaliação periódica dos montantes fixos, custos unitários ou montantes baseados numa taxa fixa.</w:t>
      </w:r>
    </w:p>
    <w:p w14:paraId="4F397F65"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As informações e os documentos fornecidos no âmbito das verificações ou auditorias devem ser tratados com confidencialidade.</w:t>
      </w:r>
    </w:p>
    <w:p w14:paraId="6BD935EE"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A Comissão pode também proceder a uma avaliação intercalar ou final do impacto da </w:t>
      </w:r>
      <w:r w:rsidRPr="002D2FDF">
        <w:rPr>
          <w:rFonts w:ascii="Times New Roman" w:hAnsi="Times New Roman"/>
          <w:i/>
          <w:lang w:val="pt-PT"/>
        </w:rPr>
        <w:t>ação</w:t>
      </w:r>
      <w:r w:rsidRPr="002D2FDF">
        <w:rPr>
          <w:rFonts w:ascii="Times New Roman" w:hAnsi="Times New Roman"/>
          <w:lang w:val="pt-PT"/>
        </w:rPr>
        <w:t>, medido em função do objetivo do programa da União em causa.</w:t>
      </w:r>
    </w:p>
    <w:p w14:paraId="06F6EF6A"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As verificações, auditorias ou avaliações da Comissão podem ser realizadas diretamente pelos seus funcionários ou por um outro organismo externo autorizado pela Comissão para esse efeito.</w:t>
      </w:r>
    </w:p>
    <w:p w14:paraId="4A4B640A"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A Comissão pode iniciar essas verificações, auditorias ou avaliações durante a execução da convenção e por um período de cinco anos a contar da data de pagamento do saldo. Este período é limitado a três anos se o </w:t>
      </w:r>
      <w:r w:rsidRPr="002D2FDF">
        <w:rPr>
          <w:rFonts w:ascii="Times New Roman" w:hAnsi="Times New Roman"/>
          <w:bCs/>
          <w:i/>
          <w:lang w:val="pt-PT"/>
        </w:rPr>
        <w:t>montante máximo da subvenção</w:t>
      </w:r>
      <w:r w:rsidRPr="002D2FDF">
        <w:rPr>
          <w:rFonts w:ascii="Times New Roman" w:hAnsi="Times New Roman"/>
          <w:bCs/>
          <w:lang w:val="pt-PT"/>
        </w:rPr>
        <w:t xml:space="preserve"> não for superior a 60 000 EUR</w:t>
      </w:r>
      <w:r w:rsidRPr="002D2FDF">
        <w:rPr>
          <w:rFonts w:ascii="Times New Roman" w:hAnsi="Times New Roman"/>
          <w:lang w:val="pt-PT"/>
        </w:rPr>
        <w:t>.</w:t>
      </w:r>
    </w:p>
    <w:p w14:paraId="4949A5C1"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Considera-se o processo de verificação, auditoria ou avaliação iniciado na data de receção da carta da Comissão que o anuncia. </w:t>
      </w:r>
    </w:p>
    <w:p w14:paraId="2968B9F3"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lang w:val="pt-PT"/>
        </w:rPr>
        <w:t>Se a auditoria for efetuada em relação a uma entidade afiliada, o beneficiário deve informar essa entidade afiliada.</w:t>
      </w:r>
    </w:p>
    <w:p w14:paraId="31B27B24" w14:textId="77777777" w:rsidR="007A392C" w:rsidRPr="002D2FDF" w:rsidRDefault="00DF48E8">
      <w:pPr>
        <w:pStyle w:val="Heading3"/>
        <w:jc w:val="both"/>
        <w:rPr>
          <w:rFonts w:ascii="Times New Roman" w:hAnsi="Times New Roman"/>
          <w:lang w:val="pt-PT"/>
        </w:rPr>
      </w:pPr>
      <w:bookmarkStart w:id="124" w:name="_Toc441250885"/>
      <w:bookmarkStart w:id="125" w:name="_Toc446535926"/>
      <w:r w:rsidRPr="002D2FDF">
        <w:rPr>
          <w:rFonts w:ascii="Times New Roman" w:hAnsi="Times New Roman"/>
          <w:lang w:val="pt-PT"/>
        </w:rPr>
        <w:t>II.27.2 Dever de guardar a documentação</w:t>
      </w:r>
      <w:bookmarkEnd w:id="124"/>
      <w:bookmarkEnd w:id="125"/>
    </w:p>
    <w:p w14:paraId="272AE215"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O beneficiário deve conservar todos os documentos originais, em especial os registos contabilísticos e fiscais, arquivados em qualquer suporte apropriado, incluindo os originais digitalizados – se o direito nacional o autorizar e nas condições que ele prescreve –, por um período de cinco anos a contar da data de pagamento do saldo. </w:t>
      </w:r>
    </w:p>
    <w:p w14:paraId="332FF67A"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O período durante o qual os documentos devem ser guardados será limitado a três anos se o </w:t>
      </w:r>
      <w:r w:rsidRPr="002D2FDF">
        <w:rPr>
          <w:rFonts w:ascii="Times New Roman" w:hAnsi="Times New Roman"/>
          <w:bCs/>
          <w:i/>
          <w:lang w:val="pt-PT"/>
        </w:rPr>
        <w:t>montante máximo da subvenção</w:t>
      </w:r>
      <w:r w:rsidRPr="002D2FDF">
        <w:rPr>
          <w:rFonts w:ascii="Times New Roman" w:hAnsi="Times New Roman"/>
          <w:bCs/>
          <w:lang w:val="pt-PT"/>
        </w:rPr>
        <w:t xml:space="preserve"> não for superior a 60 000 EUR</w:t>
      </w:r>
      <w:r w:rsidRPr="002D2FDF">
        <w:rPr>
          <w:rFonts w:ascii="Times New Roman" w:hAnsi="Times New Roman"/>
          <w:lang w:val="pt-PT"/>
        </w:rPr>
        <w:t>.</w:t>
      </w:r>
    </w:p>
    <w:p w14:paraId="520F7EA9"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Os períodos previstos no primeiro e segundo parágrafos são prolongados se estiverem em curso auditorias, recursos, litígios ou ações relativos à subvenção, incluindo no caso referido no artigo II.27.7. Nesses casos, o beneficiário deve guardar todos os documentos até que essas auditorias, recursos, litígios ou ações estejam encerrados.</w:t>
      </w:r>
    </w:p>
    <w:p w14:paraId="377AF927" w14:textId="77777777" w:rsidR="007A392C" w:rsidRPr="002D2FDF" w:rsidRDefault="00DF48E8">
      <w:pPr>
        <w:pStyle w:val="Heading3"/>
        <w:jc w:val="both"/>
        <w:rPr>
          <w:rFonts w:ascii="Times New Roman" w:hAnsi="Times New Roman"/>
          <w:lang w:val="pt-PT"/>
        </w:rPr>
      </w:pPr>
      <w:bookmarkStart w:id="126" w:name="_Toc441250886"/>
      <w:bookmarkStart w:id="127" w:name="_Toc446535927"/>
      <w:r w:rsidRPr="002D2FDF">
        <w:rPr>
          <w:rFonts w:ascii="Times New Roman" w:hAnsi="Times New Roman"/>
          <w:lang w:val="pt-PT"/>
        </w:rPr>
        <w:t>II.27.3 Obrigação de prestar informações</w:t>
      </w:r>
      <w:bookmarkEnd w:id="126"/>
      <w:bookmarkEnd w:id="127"/>
    </w:p>
    <w:p w14:paraId="03B52C42"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O beneficiário compromete-se a facultar todos os dados pormenorizados, incluindo em formato eletrónico, solicitados pela Comissão ou por qualquer outro organismo externo mandatado pela Comissão. </w:t>
      </w:r>
    </w:p>
    <w:p w14:paraId="586F8058"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Se o beneficiário não cumprir a obrigação estabelecida no primeiro parágrafo, a Comissão pode:</w:t>
      </w:r>
    </w:p>
    <w:p w14:paraId="489B9BCA" w14:textId="77777777" w:rsidR="007A392C" w:rsidRPr="002D2FDF" w:rsidRDefault="00DF48E8">
      <w:pPr>
        <w:numPr>
          <w:ilvl w:val="0"/>
          <w:numId w:val="45"/>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Considerar inelegíveis os custos insuficientemente justificados pelas informações fornecidas pelo beneficiário;</w:t>
      </w:r>
    </w:p>
    <w:p w14:paraId="14B47CD6" w14:textId="41BDAC1E" w:rsidR="007A392C" w:rsidRPr="002D2FDF" w:rsidRDefault="00DF48E8">
      <w:pPr>
        <w:numPr>
          <w:ilvl w:val="0"/>
          <w:numId w:val="45"/>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Considerar indevida qualquer financiamento não associado a custos, contribuição unitária, de montante fixo ou de taxa fixa insuficientemente justificada pelas informações prestadas pelo beneficiário.</w:t>
      </w:r>
    </w:p>
    <w:p w14:paraId="6B25D928" w14:textId="77777777" w:rsidR="007A392C" w:rsidRPr="002D2FDF" w:rsidRDefault="00DF48E8">
      <w:pPr>
        <w:pStyle w:val="Heading3"/>
        <w:jc w:val="both"/>
        <w:rPr>
          <w:rFonts w:ascii="Times New Roman" w:hAnsi="Times New Roman"/>
          <w:lang w:val="pt-PT"/>
        </w:rPr>
      </w:pPr>
      <w:bookmarkStart w:id="128" w:name="_Toc441250887"/>
      <w:bookmarkStart w:id="129" w:name="_Toc446535928"/>
      <w:r w:rsidRPr="002D2FDF">
        <w:rPr>
          <w:rFonts w:ascii="Times New Roman" w:hAnsi="Times New Roman"/>
          <w:lang w:val="pt-PT"/>
        </w:rPr>
        <w:t>II.27.4</w:t>
      </w:r>
      <w:r w:rsidRPr="002D2FDF">
        <w:rPr>
          <w:rFonts w:ascii="Times New Roman" w:hAnsi="Times New Roman"/>
          <w:lang w:val="pt-PT"/>
        </w:rPr>
        <w:tab/>
        <w:t>Visitas no local</w:t>
      </w:r>
      <w:bookmarkEnd w:id="128"/>
      <w:bookmarkEnd w:id="129"/>
    </w:p>
    <w:p w14:paraId="2608D54F"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Durante uma visita no local, o beneficiário deve permitir que os funcionários da Comissão e o pessoal externo autorizado pela Comissão acedam aos locais e instalações em que a </w:t>
      </w:r>
      <w:r w:rsidRPr="002D2FDF">
        <w:rPr>
          <w:rFonts w:ascii="Times New Roman" w:hAnsi="Times New Roman"/>
          <w:i/>
          <w:lang w:val="pt-PT"/>
        </w:rPr>
        <w:t>ação</w:t>
      </w:r>
      <w:r w:rsidRPr="002D2FDF">
        <w:rPr>
          <w:rFonts w:ascii="Times New Roman" w:hAnsi="Times New Roman"/>
          <w:lang w:val="pt-PT"/>
        </w:rPr>
        <w:t xml:space="preserve"> em questão está a ser ou foi realizada, bem como a todas as informações necessárias, incluindo em formato eletrónico.</w:t>
      </w:r>
    </w:p>
    <w:p w14:paraId="3BEC0241"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O beneficiário deve certificar-se de que as informações estão disponíveis no momento da visita no local e que a informação solicitada é fornecida de modo adequado.</w:t>
      </w:r>
    </w:p>
    <w:p w14:paraId="681F472F"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Se o beneficiário em causa recusar o acesso aos locais, instalações e informações, como previsto no primeiro e segundo parágrafos, a Comissão pode:</w:t>
      </w:r>
    </w:p>
    <w:p w14:paraId="12FAD288" w14:textId="77777777" w:rsidR="007A392C" w:rsidRPr="002D2FDF" w:rsidRDefault="00DF48E8">
      <w:pPr>
        <w:numPr>
          <w:ilvl w:val="1"/>
          <w:numId w:val="37"/>
        </w:numPr>
        <w:spacing w:before="120" w:after="120" w:line="240" w:lineRule="auto"/>
        <w:ind w:left="709" w:hanging="284"/>
        <w:jc w:val="both"/>
        <w:rPr>
          <w:rFonts w:ascii="Times New Roman" w:hAnsi="Times New Roman"/>
          <w:sz w:val="24"/>
          <w:szCs w:val="24"/>
          <w:lang w:val="pt-PT"/>
        </w:rPr>
      </w:pPr>
      <w:r w:rsidRPr="002D2FDF">
        <w:rPr>
          <w:rFonts w:ascii="Times New Roman" w:hAnsi="Times New Roman"/>
          <w:lang w:val="pt-PT"/>
        </w:rPr>
        <w:t xml:space="preserve"> Considerar inelegíveis os custos insuficientemente justificados pelas informações fornecidas pelo beneficiário;</w:t>
      </w:r>
    </w:p>
    <w:p w14:paraId="3B6B79EF" w14:textId="19E8198C" w:rsidR="007A392C" w:rsidRPr="002D2FDF" w:rsidRDefault="00DF48E8">
      <w:pPr>
        <w:numPr>
          <w:ilvl w:val="1"/>
          <w:numId w:val="37"/>
        </w:numPr>
        <w:spacing w:before="120" w:after="120" w:line="240" w:lineRule="auto"/>
        <w:ind w:left="709" w:hanging="284"/>
        <w:jc w:val="both"/>
        <w:rPr>
          <w:rFonts w:ascii="Times New Roman" w:hAnsi="Times New Roman"/>
          <w:sz w:val="24"/>
          <w:szCs w:val="24"/>
          <w:lang w:val="pt-PT"/>
        </w:rPr>
      </w:pPr>
      <w:r w:rsidRPr="002D2FDF">
        <w:rPr>
          <w:rFonts w:ascii="Times New Roman" w:hAnsi="Times New Roman"/>
          <w:lang w:val="pt-PT"/>
        </w:rPr>
        <w:t xml:space="preserve"> Considerar indevida qualquer financiamento não associado a custos, contribuição unitária, de montante fixo ou de taxa fixa insuficientemente justificada pelas informações prestadas pelo beneficiário.</w:t>
      </w:r>
    </w:p>
    <w:p w14:paraId="25318717" w14:textId="77777777" w:rsidR="007A392C" w:rsidRPr="002D2FDF" w:rsidRDefault="00DF48E8">
      <w:pPr>
        <w:pStyle w:val="Heading3"/>
        <w:jc w:val="both"/>
        <w:rPr>
          <w:rFonts w:ascii="Times New Roman" w:hAnsi="Times New Roman"/>
          <w:lang w:val="pt-PT"/>
        </w:rPr>
      </w:pPr>
      <w:bookmarkStart w:id="130" w:name="_Toc441250888"/>
      <w:bookmarkStart w:id="131" w:name="_Toc446535929"/>
      <w:r w:rsidRPr="002D2FDF">
        <w:rPr>
          <w:rFonts w:ascii="Times New Roman" w:hAnsi="Times New Roman"/>
          <w:lang w:val="pt-PT"/>
        </w:rPr>
        <w:t>II.27.5</w:t>
      </w:r>
      <w:r w:rsidRPr="002D2FDF">
        <w:rPr>
          <w:rFonts w:ascii="Times New Roman" w:hAnsi="Times New Roman"/>
          <w:lang w:val="pt-PT"/>
        </w:rPr>
        <w:tab/>
        <w:t>Procedimento de auditoria com contraditório</w:t>
      </w:r>
      <w:bookmarkEnd w:id="130"/>
      <w:bookmarkEnd w:id="131"/>
    </w:p>
    <w:p w14:paraId="781838D8"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Com base nos resultados da auditoria, deve ser elaborado um relatório provisório («projeto de relatório de auditoria»). O relatório provisório será enviado pela </w:t>
      </w:r>
      <w:r w:rsidRPr="002D2FDF">
        <w:rPr>
          <w:rFonts w:ascii="Times New Roman" w:hAnsi="Times New Roman"/>
          <w:iCs/>
          <w:lang w:val="pt-PT"/>
        </w:rPr>
        <w:t>Comissão</w:t>
      </w:r>
      <w:r w:rsidRPr="002D2FDF">
        <w:rPr>
          <w:rFonts w:ascii="Times New Roman" w:hAnsi="Times New Roman"/>
          <w:lang w:val="pt-PT"/>
        </w:rPr>
        <w:t xml:space="preserve">, ou pelo seu representante autorizado, ao </w:t>
      </w:r>
      <w:r w:rsidRPr="002D2FDF">
        <w:rPr>
          <w:rFonts w:ascii="Times New Roman" w:hAnsi="Times New Roman"/>
          <w:iCs/>
          <w:lang w:val="pt-PT"/>
        </w:rPr>
        <w:t>beneficiário</w:t>
      </w:r>
      <w:r w:rsidRPr="002D2FDF">
        <w:rPr>
          <w:rFonts w:ascii="Times New Roman" w:hAnsi="Times New Roman"/>
          <w:lang w:val="pt-PT"/>
        </w:rPr>
        <w:t xml:space="preserve">, que disporá de um prazo de 30 dias de calendário a contar da data de receção para apresentar observações. O relatório final («relatório final de auditoria») deve ser enviado ao </w:t>
      </w:r>
      <w:r w:rsidRPr="002D2FDF">
        <w:rPr>
          <w:rFonts w:ascii="Times New Roman" w:hAnsi="Times New Roman"/>
          <w:iCs/>
          <w:lang w:val="pt-PT"/>
        </w:rPr>
        <w:t>beneficiário</w:t>
      </w:r>
      <w:r w:rsidRPr="002D2FDF">
        <w:rPr>
          <w:rFonts w:ascii="Times New Roman" w:hAnsi="Times New Roman"/>
          <w:lang w:val="pt-PT"/>
        </w:rPr>
        <w:t xml:space="preserve"> no prazo de 60 dias de calendário a contar do termo do prazo para a apresentação de observações.</w:t>
      </w:r>
    </w:p>
    <w:p w14:paraId="5449BF36" w14:textId="77777777" w:rsidR="007A392C" w:rsidRPr="002D2FDF" w:rsidRDefault="00DF48E8">
      <w:pPr>
        <w:pStyle w:val="Heading3"/>
        <w:jc w:val="both"/>
        <w:rPr>
          <w:rFonts w:ascii="Times New Roman" w:hAnsi="Times New Roman"/>
          <w:lang w:val="pt-PT"/>
        </w:rPr>
      </w:pPr>
      <w:bookmarkStart w:id="132" w:name="_Toc441250889"/>
      <w:bookmarkStart w:id="133" w:name="_Toc446535930"/>
      <w:r w:rsidRPr="002D2FDF">
        <w:rPr>
          <w:rFonts w:ascii="Times New Roman" w:hAnsi="Times New Roman"/>
          <w:lang w:val="pt-PT"/>
        </w:rPr>
        <w:t>II.27.6 Efeitos das conclusões da auditoria</w:t>
      </w:r>
      <w:bookmarkEnd w:id="132"/>
      <w:bookmarkEnd w:id="133"/>
    </w:p>
    <w:p w14:paraId="2C39677D"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Com base nos resultados finais da auditoria, a </w:t>
      </w:r>
      <w:r w:rsidRPr="002D2FDF">
        <w:rPr>
          <w:rFonts w:ascii="Times New Roman" w:hAnsi="Times New Roman"/>
          <w:iCs/>
          <w:lang w:val="pt-PT"/>
        </w:rPr>
        <w:t>Comissão</w:t>
      </w:r>
      <w:r w:rsidRPr="002D2FDF">
        <w:rPr>
          <w:rFonts w:ascii="Times New Roman" w:hAnsi="Times New Roman"/>
          <w:lang w:val="pt-PT"/>
        </w:rPr>
        <w:t xml:space="preserve"> pode tomar as medidas que considerar necessárias, incluindo a recuperação total ou parcial dos pagamentos que efetuou, em conformidade com o artigo II.26.</w:t>
      </w:r>
    </w:p>
    <w:p w14:paraId="3143FD54"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No caso de resultados finais de auditoria posteriores ao pagamento do saldo, o montante a recuperar corresponde à diferença entre o montante final revisto da subvenção, determinado nos termos do artigo II.25, e o montante total pago ao beneficiário ao abrigo da convenção para a execução da </w:t>
      </w:r>
      <w:r w:rsidRPr="002D2FDF">
        <w:rPr>
          <w:rFonts w:ascii="Times New Roman" w:hAnsi="Times New Roman"/>
          <w:i/>
          <w:lang w:val="pt-PT"/>
        </w:rPr>
        <w:t>ação</w:t>
      </w:r>
      <w:r w:rsidRPr="002D2FDF">
        <w:rPr>
          <w:rFonts w:ascii="Times New Roman" w:hAnsi="Times New Roman"/>
          <w:lang w:val="pt-PT"/>
        </w:rPr>
        <w:t>.</w:t>
      </w:r>
    </w:p>
    <w:p w14:paraId="185A4DF8" w14:textId="77777777" w:rsidR="007A392C" w:rsidRPr="002D2FDF" w:rsidRDefault="00DF48E8">
      <w:pPr>
        <w:pStyle w:val="Heading3"/>
        <w:jc w:val="both"/>
        <w:rPr>
          <w:rFonts w:ascii="Times New Roman" w:hAnsi="Times New Roman"/>
          <w:lang w:val="pt-PT"/>
        </w:rPr>
      </w:pPr>
      <w:bookmarkStart w:id="134" w:name="_Toc441250890"/>
      <w:bookmarkStart w:id="135" w:name="_Toc446535931"/>
      <w:r w:rsidRPr="002D2FDF">
        <w:rPr>
          <w:rFonts w:ascii="Times New Roman" w:hAnsi="Times New Roman"/>
          <w:lang w:val="pt-PT"/>
        </w:rPr>
        <w:t>II.27.7 Correção de erros sistémicos ou recorrentes, irregularidades, fraude ou incumprimento das obrigações</w:t>
      </w:r>
      <w:bookmarkEnd w:id="134"/>
      <w:bookmarkEnd w:id="135"/>
      <w:r w:rsidRPr="002D2FDF">
        <w:rPr>
          <w:rFonts w:ascii="Times New Roman" w:hAnsi="Times New Roman"/>
          <w:lang w:val="pt-PT"/>
        </w:rPr>
        <w:t xml:space="preserve">  </w:t>
      </w:r>
    </w:p>
    <w:p w14:paraId="5B6DDD63"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b/>
          <w:lang w:val="pt-PT"/>
        </w:rPr>
        <w:t>II.27.7.1</w:t>
      </w:r>
      <w:r w:rsidRPr="002D2FDF">
        <w:rPr>
          <w:rFonts w:ascii="Times New Roman" w:hAnsi="Times New Roman"/>
          <w:lang w:val="pt-PT"/>
        </w:rPr>
        <w:t xml:space="preserve"> A Comissão pode alargar à presente subvenção as constatações de auditorias de outras subvenções se:</w:t>
      </w:r>
    </w:p>
    <w:p w14:paraId="20D304F2" w14:textId="4AE05411" w:rsidR="007A392C" w:rsidRPr="002D2FDF" w:rsidRDefault="00DF48E8">
      <w:pPr>
        <w:numPr>
          <w:ilvl w:val="0"/>
          <w:numId w:val="67"/>
        </w:numPr>
        <w:spacing w:before="120" w:after="120" w:line="240" w:lineRule="auto"/>
        <w:jc w:val="both"/>
        <w:rPr>
          <w:rFonts w:ascii="Times New Roman" w:hAnsi="Times New Roman"/>
          <w:sz w:val="24"/>
          <w:szCs w:val="24"/>
          <w:lang w:val="pt-PT"/>
        </w:rPr>
      </w:pPr>
      <w:r w:rsidRPr="002D2FDF">
        <w:rPr>
          <w:rFonts w:ascii="Times New Roman" w:hAnsi="Times New Roman"/>
          <w:lang w:val="pt-PT"/>
        </w:rPr>
        <w:t xml:space="preserve">Constatar que o beneficiário cometeu, de forma sistemática ou recorrente, </w:t>
      </w:r>
      <w:r w:rsidRPr="002D2FDF">
        <w:rPr>
          <w:rFonts w:ascii="Times New Roman" w:hAnsi="Times New Roman"/>
          <w:i/>
          <w:lang w:val="pt-PT"/>
        </w:rPr>
        <w:t>irregularidades, fraudes</w:t>
      </w:r>
      <w:r w:rsidRPr="002D2FDF">
        <w:rPr>
          <w:rFonts w:ascii="Times New Roman" w:hAnsi="Times New Roman"/>
          <w:lang w:val="pt-PT"/>
        </w:rPr>
        <w:t xml:space="preserve"> ou </w:t>
      </w:r>
      <w:r w:rsidRPr="002D2FDF">
        <w:rPr>
          <w:rFonts w:ascii="Times New Roman" w:hAnsi="Times New Roman"/>
          <w:i/>
          <w:lang w:val="pt-PT"/>
        </w:rPr>
        <w:t>incumprimentos de obrigações</w:t>
      </w:r>
      <w:r w:rsidRPr="002D2FDF">
        <w:rPr>
          <w:rFonts w:ascii="Times New Roman" w:hAnsi="Times New Roman"/>
          <w:lang w:val="pt-PT"/>
        </w:rPr>
        <w:t xml:space="preserve"> no âmbito de outras subvenções financiadas pela EU ou pela Euratom concedidas em condições semelhantes e de que essas </w:t>
      </w:r>
      <w:r w:rsidRPr="002D2FDF">
        <w:rPr>
          <w:rFonts w:ascii="Times New Roman" w:hAnsi="Times New Roman"/>
          <w:i/>
          <w:lang w:val="pt-PT"/>
        </w:rPr>
        <w:t>irregularidades, fraudes</w:t>
      </w:r>
      <w:r w:rsidRPr="002D2FDF">
        <w:rPr>
          <w:rFonts w:ascii="Times New Roman" w:hAnsi="Times New Roman"/>
          <w:lang w:val="pt-PT"/>
        </w:rPr>
        <w:t xml:space="preserve"> ou </w:t>
      </w:r>
      <w:r w:rsidRPr="002D2FDF">
        <w:rPr>
          <w:rFonts w:ascii="Times New Roman" w:hAnsi="Times New Roman"/>
          <w:i/>
          <w:lang w:val="pt-PT"/>
        </w:rPr>
        <w:t>incumprimentos de obrigações</w:t>
      </w:r>
      <w:r w:rsidRPr="002D2FDF">
        <w:rPr>
          <w:rFonts w:ascii="Times New Roman" w:hAnsi="Times New Roman"/>
          <w:lang w:val="pt-PT"/>
        </w:rPr>
        <w:t xml:space="preserve"> têm um impacto significativo na presente subvenção; e</w:t>
      </w:r>
    </w:p>
    <w:p w14:paraId="5A71738E" w14:textId="77777777" w:rsidR="007A392C" w:rsidRPr="002D2FDF" w:rsidRDefault="00DF48E8">
      <w:pPr>
        <w:numPr>
          <w:ilvl w:val="0"/>
          <w:numId w:val="67"/>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As conclusões finais da auditoria forem enviadas ao beneficiário através de uma </w:t>
      </w:r>
      <w:r w:rsidRPr="002D2FDF">
        <w:rPr>
          <w:rFonts w:ascii="Times New Roman" w:hAnsi="Times New Roman"/>
          <w:i/>
          <w:lang w:val="pt-PT"/>
        </w:rPr>
        <w:t>notificação formal</w:t>
      </w:r>
      <w:r w:rsidRPr="002D2FDF">
        <w:rPr>
          <w:rFonts w:ascii="Times New Roman" w:hAnsi="Times New Roman"/>
          <w:lang w:val="pt-PT"/>
        </w:rPr>
        <w:t>, juntamente com a lista das subvenções afetadas por essas verificações no prazo referido no artigo II.27.1</w:t>
      </w:r>
    </w:p>
    <w:p w14:paraId="4D6AFEE7" w14:textId="77777777" w:rsidR="007A392C" w:rsidRPr="002D2FDF" w:rsidRDefault="00DF48E8">
      <w:pPr>
        <w:spacing w:after="120" w:line="240" w:lineRule="auto"/>
        <w:jc w:val="both"/>
        <w:rPr>
          <w:rFonts w:ascii="Times New Roman" w:hAnsi="Times New Roman"/>
          <w:sz w:val="24"/>
          <w:szCs w:val="24"/>
          <w:lang w:val="pt-PT"/>
        </w:rPr>
      </w:pPr>
      <w:r w:rsidRPr="002D2FDF">
        <w:rPr>
          <w:rFonts w:ascii="Times New Roman" w:hAnsi="Times New Roman"/>
          <w:lang w:val="pt-PT"/>
        </w:rPr>
        <w:t>O alargamento dos resultados pode ter por efeito:</w:t>
      </w:r>
    </w:p>
    <w:p w14:paraId="1CC1C879" w14:textId="77777777" w:rsidR="007A392C" w:rsidRPr="002D2FDF" w:rsidRDefault="00DF48E8">
      <w:pPr>
        <w:numPr>
          <w:ilvl w:val="0"/>
          <w:numId w:val="68"/>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A rejeição dos custos, considerados inelegíveis;</w:t>
      </w:r>
    </w:p>
    <w:p w14:paraId="51349AA7" w14:textId="77777777" w:rsidR="007A392C" w:rsidRPr="002D2FDF" w:rsidRDefault="00DF48E8">
      <w:pPr>
        <w:numPr>
          <w:ilvl w:val="0"/>
          <w:numId w:val="68"/>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A redução da subvenção, como previsto no artigo II.25.4;</w:t>
      </w:r>
    </w:p>
    <w:p w14:paraId="6A1DEA8F" w14:textId="77777777" w:rsidR="007A392C" w:rsidRPr="002D2FDF" w:rsidRDefault="00DF48E8">
      <w:pPr>
        <w:numPr>
          <w:ilvl w:val="0"/>
          <w:numId w:val="68"/>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A recuperação dos montantes indevidamente pagos, como previsto no artigo II.26;</w:t>
      </w:r>
    </w:p>
    <w:p w14:paraId="18BC4D63" w14:textId="77777777" w:rsidR="007A392C" w:rsidRPr="002D2FDF" w:rsidRDefault="00DF48E8">
      <w:pPr>
        <w:numPr>
          <w:ilvl w:val="0"/>
          <w:numId w:val="68"/>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A suspensão de pagamentos, como previsto no artigo II.24.1;</w:t>
      </w:r>
    </w:p>
    <w:p w14:paraId="0AF195DA" w14:textId="77777777" w:rsidR="007A392C" w:rsidRPr="002D2FDF" w:rsidRDefault="00DF48E8">
      <w:pPr>
        <w:numPr>
          <w:ilvl w:val="0"/>
          <w:numId w:val="68"/>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A suspensão da execução da </w:t>
      </w:r>
      <w:r w:rsidRPr="002D2FDF">
        <w:rPr>
          <w:rFonts w:ascii="Times New Roman" w:hAnsi="Times New Roman"/>
          <w:i/>
          <w:lang w:val="pt-PT"/>
        </w:rPr>
        <w:t>ação</w:t>
      </w:r>
      <w:r w:rsidRPr="002D2FDF">
        <w:rPr>
          <w:rFonts w:ascii="Times New Roman" w:hAnsi="Times New Roman"/>
          <w:lang w:val="pt-PT"/>
        </w:rPr>
        <w:t>, como previsto no artigo II.16.2;</w:t>
      </w:r>
    </w:p>
    <w:p w14:paraId="710E7939" w14:textId="77777777" w:rsidR="007A392C" w:rsidRPr="002D2FDF" w:rsidRDefault="00DF48E8">
      <w:pPr>
        <w:numPr>
          <w:ilvl w:val="0"/>
          <w:numId w:val="68"/>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A resolução, como previsto no artigo II.17.2.</w:t>
      </w:r>
    </w:p>
    <w:p w14:paraId="534D8647" w14:textId="1B05DA95"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b/>
          <w:lang w:val="pt-PT"/>
        </w:rPr>
        <w:t>II.27.7.2</w:t>
      </w:r>
      <w:r w:rsidRPr="002D2FDF">
        <w:rPr>
          <w:rFonts w:ascii="Times New Roman" w:hAnsi="Times New Roman"/>
          <w:lang w:val="pt-PT"/>
        </w:rPr>
        <w:t xml:space="preserve"> </w:t>
      </w:r>
      <w:r w:rsidRPr="002D2FDF">
        <w:rPr>
          <w:rFonts w:ascii="Times New Roman" w:hAnsi="Times New Roman"/>
          <w:lang w:val="pt-PT"/>
        </w:rPr>
        <w:tab/>
        <w:t xml:space="preserve">A Comissão deve enviar uma </w:t>
      </w:r>
      <w:r w:rsidRPr="002D2FDF">
        <w:rPr>
          <w:rFonts w:ascii="Times New Roman" w:hAnsi="Times New Roman"/>
          <w:i/>
          <w:lang w:val="pt-PT"/>
        </w:rPr>
        <w:t>notificação formal</w:t>
      </w:r>
      <w:r w:rsidRPr="002D2FDF">
        <w:rPr>
          <w:rFonts w:ascii="Times New Roman" w:hAnsi="Times New Roman"/>
          <w:lang w:val="pt-PT"/>
        </w:rPr>
        <w:t xml:space="preserve"> ao </w:t>
      </w:r>
      <w:r w:rsidRPr="002D2FDF">
        <w:rPr>
          <w:rFonts w:ascii="Times New Roman" w:hAnsi="Times New Roman"/>
          <w:bCs/>
          <w:lang w:val="pt-PT"/>
        </w:rPr>
        <w:t>beneficiário</w:t>
      </w:r>
      <w:r w:rsidRPr="002D2FDF">
        <w:rPr>
          <w:rFonts w:ascii="Times New Roman" w:hAnsi="Times New Roman"/>
          <w:lang w:val="pt-PT"/>
        </w:rPr>
        <w:t>, informando-o das irregularidades, fraudes ou incumprimentos de obrigações cometidos de forma sistemática ou recorrente</w:t>
      </w:r>
      <w:r w:rsidRPr="002D2FDF">
        <w:rPr>
          <w:lang w:val="pt-PT"/>
        </w:rPr>
        <w:t xml:space="preserve"> </w:t>
      </w:r>
      <w:r w:rsidRPr="002D2FDF">
        <w:rPr>
          <w:rFonts w:ascii="Times New Roman" w:hAnsi="Times New Roman"/>
          <w:lang w:val="pt-PT"/>
        </w:rPr>
        <w:t>e da sua intenção de proceder ao alargamento dos resultados da auditoria, juntamente com a lista das subvenções afetadas.</w:t>
      </w:r>
    </w:p>
    <w:p w14:paraId="60253452" w14:textId="77777777" w:rsidR="007A392C" w:rsidRPr="002D2FDF" w:rsidRDefault="00DF48E8">
      <w:pPr>
        <w:numPr>
          <w:ilvl w:val="0"/>
          <w:numId w:val="69"/>
        </w:numPr>
        <w:spacing w:before="100" w:beforeAutospacing="1" w:after="240" w:line="240" w:lineRule="auto"/>
        <w:ind w:left="714" w:hanging="357"/>
        <w:jc w:val="both"/>
        <w:rPr>
          <w:rFonts w:ascii="Times New Roman" w:hAnsi="Times New Roman"/>
          <w:sz w:val="24"/>
          <w:szCs w:val="24"/>
          <w:lang w:val="pt-PT"/>
        </w:rPr>
      </w:pPr>
      <w:r w:rsidRPr="002D2FDF">
        <w:rPr>
          <w:rFonts w:ascii="Times New Roman" w:hAnsi="Times New Roman"/>
          <w:bCs/>
          <w:lang w:val="pt-PT"/>
        </w:rPr>
        <w:t>Se as verificações disserem respeito à elegibilidade dos custos, o procedimento é o seguinte:</w:t>
      </w:r>
    </w:p>
    <w:p w14:paraId="0E552886"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b/>
          <w:lang w:val="pt-PT"/>
        </w:rPr>
        <w:t>Passo 1</w:t>
      </w:r>
      <w:r w:rsidRPr="002D2FDF">
        <w:rPr>
          <w:rFonts w:ascii="Times New Roman" w:hAnsi="Times New Roman"/>
          <w:lang w:val="pt-PT"/>
        </w:rPr>
        <w:t xml:space="preserve"> — A </w:t>
      </w:r>
      <w:r w:rsidRPr="002D2FDF">
        <w:rPr>
          <w:rFonts w:ascii="Times New Roman" w:hAnsi="Times New Roman"/>
          <w:i/>
          <w:lang w:val="pt-PT"/>
        </w:rPr>
        <w:t>notificação formal</w:t>
      </w:r>
      <w:r w:rsidRPr="002D2FDF">
        <w:rPr>
          <w:rFonts w:ascii="Times New Roman" w:hAnsi="Times New Roman"/>
          <w:lang w:val="pt-PT"/>
        </w:rPr>
        <w:t xml:space="preserve"> deve incluir</w:t>
      </w:r>
      <w:r w:rsidRPr="002D2FDF">
        <w:rPr>
          <w:rFonts w:ascii="Times New Roman" w:hAnsi="Times New Roman"/>
          <w:bCs/>
          <w:lang w:val="pt-PT"/>
        </w:rPr>
        <w:t>:</w:t>
      </w:r>
    </w:p>
    <w:p w14:paraId="74006462" w14:textId="77777777" w:rsidR="007A392C" w:rsidRPr="002D2FDF" w:rsidRDefault="00DF48E8">
      <w:pPr>
        <w:numPr>
          <w:ilvl w:val="0"/>
          <w:numId w:val="70"/>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Um convite à apresentação de observações sobre a lista das subvenções afetadas pelos resultados;</w:t>
      </w:r>
    </w:p>
    <w:p w14:paraId="4E17FD49" w14:textId="77777777" w:rsidR="007A392C" w:rsidRPr="002D2FDF" w:rsidRDefault="00DF48E8">
      <w:pPr>
        <w:numPr>
          <w:ilvl w:val="0"/>
          <w:numId w:val="70"/>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Um pedido de apresentação de demonstrações financeiras revistas relativamente a todas as subvenções afetadas;</w:t>
      </w:r>
    </w:p>
    <w:p w14:paraId="095CB2C3" w14:textId="77777777" w:rsidR="007A392C" w:rsidRPr="002D2FDF" w:rsidRDefault="00DF48E8">
      <w:pPr>
        <w:numPr>
          <w:ilvl w:val="0"/>
          <w:numId w:val="70"/>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 Sempre que possível, a taxa de correção para extrapolação estabelecida pela Comissão para calcular os montantes a rejeitar com base nos erros, </w:t>
      </w:r>
      <w:r w:rsidRPr="002D2FDF">
        <w:rPr>
          <w:rFonts w:ascii="Times New Roman" w:hAnsi="Times New Roman"/>
          <w:i/>
          <w:lang w:val="pt-PT"/>
        </w:rPr>
        <w:t xml:space="preserve">irregularidades, fraudes </w:t>
      </w:r>
      <w:r w:rsidRPr="002D2FDF">
        <w:rPr>
          <w:rFonts w:ascii="Times New Roman" w:hAnsi="Times New Roman"/>
          <w:lang w:val="pt-PT"/>
        </w:rPr>
        <w:t>ou</w:t>
      </w:r>
      <w:r w:rsidRPr="002D2FDF">
        <w:rPr>
          <w:rFonts w:ascii="Times New Roman" w:hAnsi="Times New Roman"/>
          <w:i/>
          <w:lang w:val="pt-PT"/>
        </w:rPr>
        <w:t xml:space="preserve"> incumprimentos de obrigações</w:t>
      </w:r>
      <w:r w:rsidRPr="002D2FDF">
        <w:rPr>
          <w:rFonts w:ascii="Times New Roman" w:hAnsi="Times New Roman"/>
          <w:lang w:val="pt-PT"/>
        </w:rPr>
        <w:t xml:space="preserve"> cometidos de forma sistemática ou recorrente, se o beneficiário em causa:</w:t>
      </w:r>
    </w:p>
    <w:p w14:paraId="4442A321" w14:textId="77777777" w:rsidR="007A392C" w:rsidRPr="002D2FDF" w:rsidRDefault="00DF48E8">
      <w:pPr>
        <w:spacing w:line="240" w:lineRule="auto"/>
        <w:ind w:left="709"/>
        <w:jc w:val="both"/>
        <w:rPr>
          <w:rFonts w:ascii="Times New Roman" w:hAnsi="Times New Roman"/>
          <w:sz w:val="24"/>
          <w:szCs w:val="24"/>
          <w:lang w:val="pt-PT"/>
        </w:rPr>
      </w:pPr>
      <w:r w:rsidRPr="002D2FDF">
        <w:rPr>
          <w:rFonts w:ascii="Times New Roman" w:hAnsi="Times New Roman"/>
          <w:lang w:val="pt-PT"/>
        </w:rPr>
        <w:t>- considerar que a apresentação de demonstrações financeiras revistas não é possível ou viável; ou</w:t>
      </w:r>
    </w:p>
    <w:p w14:paraId="4B78FCFC" w14:textId="77777777" w:rsidR="007A392C" w:rsidRPr="002D2FDF" w:rsidRDefault="00DF48E8">
      <w:pPr>
        <w:spacing w:line="240" w:lineRule="auto"/>
        <w:ind w:left="709"/>
        <w:jc w:val="both"/>
        <w:rPr>
          <w:rFonts w:ascii="Times New Roman" w:hAnsi="Times New Roman"/>
          <w:sz w:val="24"/>
          <w:szCs w:val="24"/>
          <w:lang w:val="pt-PT"/>
        </w:rPr>
      </w:pPr>
      <w:r w:rsidRPr="002D2FDF">
        <w:rPr>
          <w:rFonts w:ascii="Times New Roman" w:hAnsi="Times New Roman"/>
          <w:lang w:val="pt-PT"/>
        </w:rPr>
        <w:t>- não apresentar as demonstrações financeiras revistas.</w:t>
      </w:r>
    </w:p>
    <w:p w14:paraId="7B8E1AC6"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b/>
          <w:lang w:val="pt-PT"/>
        </w:rPr>
        <w:t>Passo 2</w:t>
      </w:r>
      <w:r w:rsidRPr="002D2FDF">
        <w:rPr>
          <w:rFonts w:ascii="Times New Roman" w:hAnsi="Times New Roman"/>
          <w:lang w:val="pt-PT"/>
        </w:rPr>
        <w:t xml:space="preserve"> — O beneficiário dispõe de um prazo de 60 dias de calendário a contar da receção da </w:t>
      </w:r>
      <w:r w:rsidRPr="002D2FDF">
        <w:rPr>
          <w:rFonts w:ascii="Times New Roman" w:hAnsi="Times New Roman"/>
          <w:i/>
          <w:lang w:val="pt-PT"/>
        </w:rPr>
        <w:t>notificação formal</w:t>
      </w:r>
      <w:r w:rsidRPr="002D2FDF">
        <w:rPr>
          <w:rFonts w:ascii="Times New Roman" w:hAnsi="Times New Roman"/>
          <w:lang w:val="pt-PT"/>
        </w:rPr>
        <w:t xml:space="preserve"> para apresentar as suas observações, as demonstrações financeiras revistas ou uma proposta de método de correção alternativo devidamente justificada. Este prazo pode ser prorrogado pela Comissão em casos justificados.</w:t>
      </w:r>
    </w:p>
    <w:p w14:paraId="15A605DC"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b/>
          <w:lang w:val="pt-PT"/>
        </w:rPr>
        <w:t>Passo 3</w:t>
      </w:r>
      <w:r w:rsidRPr="002D2FDF">
        <w:rPr>
          <w:rFonts w:ascii="Times New Roman" w:hAnsi="Times New Roman"/>
          <w:lang w:val="pt-PT"/>
        </w:rPr>
        <w:t xml:space="preserve"> — Se o beneficiário apresentar demonstrações financeiras revistas que tenham em conta os resultados, a Comissão determina o montante a corrigir com base nessas demonstrações revistas.</w:t>
      </w:r>
    </w:p>
    <w:p w14:paraId="1D3B7A01"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Se o beneficiário propuser um método de correção alternativo e a Comissão o aceitar, a Comissão deve enviar uma </w:t>
      </w:r>
      <w:r w:rsidRPr="002D2FDF">
        <w:rPr>
          <w:rFonts w:ascii="Times New Roman" w:hAnsi="Times New Roman"/>
          <w:i/>
          <w:lang w:val="pt-PT"/>
        </w:rPr>
        <w:t>notificação formal</w:t>
      </w:r>
      <w:r w:rsidRPr="002D2FDF">
        <w:rPr>
          <w:rFonts w:ascii="Times New Roman" w:hAnsi="Times New Roman"/>
          <w:lang w:val="pt-PT"/>
        </w:rPr>
        <w:t xml:space="preserve"> ao beneficiário, informando-o:</w:t>
      </w:r>
    </w:p>
    <w:p w14:paraId="0DC42ADE" w14:textId="77777777" w:rsidR="007A392C" w:rsidRPr="002D2FDF" w:rsidRDefault="00DF48E8">
      <w:pPr>
        <w:numPr>
          <w:ilvl w:val="0"/>
          <w:numId w:val="71"/>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De que aceita o método alternativo;</w:t>
      </w:r>
    </w:p>
    <w:p w14:paraId="39AD4A76" w14:textId="77777777" w:rsidR="007A392C" w:rsidRPr="002D2FDF" w:rsidRDefault="00DF48E8">
      <w:pPr>
        <w:numPr>
          <w:ilvl w:val="0"/>
          <w:numId w:val="71"/>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Dos custos elegíveis revistos calculados através da aplicação deste método.</w:t>
      </w:r>
    </w:p>
    <w:p w14:paraId="480E531B"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Caso contrário, a Comissão deve enviar uma </w:t>
      </w:r>
      <w:r w:rsidRPr="002D2FDF">
        <w:rPr>
          <w:rFonts w:ascii="Times New Roman" w:hAnsi="Times New Roman"/>
          <w:i/>
          <w:lang w:val="pt-PT"/>
        </w:rPr>
        <w:t>notificação formal</w:t>
      </w:r>
      <w:r w:rsidRPr="002D2FDF">
        <w:rPr>
          <w:rFonts w:ascii="Times New Roman" w:hAnsi="Times New Roman"/>
          <w:lang w:val="pt-PT"/>
        </w:rPr>
        <w:t xml:space="preserve"> ao beneficiário, informando-o:</w:t>
      </w:r>
    </w:p>
    <w:p w14:paraId="6896FC29" w14:textId="77777777" w:rsidR="007A392C" w:rsidRPr="002D2FDF" w:rsidRDefault="00DF48E8">
      <w:pPr>
        <w:numPr>
          <w:ilvl w:val="0"/>
          <w:numId w:val="72"/>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De que não aceita as observações ou o método alternativo proposto;</w:t>
      </w:r>
    </w:p>
    <w:p w14:paraId="0354AA6F" w14:textId="77777777" w:rsidR="007A392C" w:rsidRPr="002D2FDF" w:rsidRDefault="00DF48E8">
      <w:pPr>
        <w:numPr>
          <w:ilvl w:val="0"/>
          <w:numId w:val="72"/>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Dos custos elegíveis revistos aplicando o método de extrapolação inicialmente notificado ao beneficiário.</w:t>
      </w:r>
    </w:p>
    <w:p w14:paraId="621B0943" w14:textId="4A9F47C4"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 xml:space="preserve">No caso de </w:t>
      </w:r>
      <w:r w:rsidRPr="002D2FDF">
        <w:rPr>
          <w:rFonts w:ascii="Times New Roman" w:hAnsi="Times New Roman"/>
          <w:i/>
          <w:lang w:val="pt-PT"/>
        </w:rPr>
        <w:t xml:space="preserve">irregularidades, fraudes </w:t>
      </w:r>
      <w:r w:rsidRPr="002D2FDF">
        <w:rPr>
          <w:rFonts w:ascii="Times New Roman" w:hAnsi="Times New Roman"/>
          <w:lang w:val="pt-PT"/>
        </w:rPr>
        <w:t xml:space="preserve">ou </w:t>
      </w:r>
      <w:r w:rsidRPr="002D2FDF">
        <w:rPr>
          <w:rFonts w:ascii="Times New Roman" w:hAnsi="Times New Roman"/>
          <w:i/>
          <w:lang w:val="pt-PT"/>
        </w:rPr>
        <w:t>incumprimentos de obrigações</w:t>
      </w:r>
      <w:r w:rsidRPr="002D2FDF">
        <w:rPr>
          <w:rFonts w:ascii="Times New Roman" w:hAnsi="Times New Roman"/>
          <w:lang w:val="pt-PT"/>
        </w:rPr>
        <w:t>, cometidos de forma sistemática ou recorrente, detetados após o pagamento do saldo, o montante a recuperar corresponde à diferença entre:</w:t>
      </w:r>
    </w:p>
    <w:p w14:paraId="423F3E3C" w14:textId="77777777" w:rsidR="007A392C" w:rsidRPr="002D2FDF" w:rsidRDefault="00DF48E8">
      <w:pPr>
        <w:numPr>
          <w:ilvl w:val="0"/>
          <w:numId w:val="73"/>
        </w:numPr>
        <w:spacing w:before="100" w:beforeAutospacing="1" w:after="100" w:afterAutospacing="1" w:line="240" w:lineRule="auto"/>
        <w:jc w:val="both"/>
        <w:rPr>
          <w:rFonts w:ascii="Times New Roman" w:hAnsi="Times New Roman"/>
          <w:sz w:val="24"/>
          <w:szCs w:val="24"/>
          <w:lang w:val="pt-PT"/>
        </w:rPr>
      </w:pPr>
      <w:r w:rsidRPr="002D2FDF">
        <w:rPr>
          <w:rFonts w:ascii="Times New Roman" w:hAnsi="Times New Roman"/>
          <w:lang w:val="pt-PT"/>
        </w:rPr>
        <w:t>O montante final revisto da subvenção, determinado em conformidade com o artigo II.25 com base nos custos elegíveis revistos declarados pelo beneficiário e aprovados pela Comissão, ou com base nos custos elegíveis revistos após extrapolação; e</w:t>
      </w:r>
    </w:p>
    <w:p w14:paraId="0F436E0C" w14:textId="77777777" w:rsidR="007A392C" w:rsidRPr="002D2FDF" w:rsidRDefault="00DF48E8">
      <w:pPr>
        <w:numPr>
          <w:ilvl w:val="0"/>
          <w:numId w:val="73"/>
        </w:numPr>
        <w:spacing w:before="100" w:beforeAutospacing="1" w:after="36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O montante total pago ao beneficiário ao abrigo da convenção para execução da </w:t>
      </w:r>
      <w:r w:rsidRPr="002D2FDF">
        <w:rPr>
          <w:rFonts w:ascii="Times New Roman" w:hAnsi="Times New Roman"/>
          <w:i/>
          <w:lang w:val="pt-PT"/>
        </w:rPr>
        <w:t>ação</w:t>
      </w:r>
      <w:r w:rsidRPr="002D2FDF">
        <w:rPr>
          <w:rFonts w:ascii="Times New Roman" w:hAnsi="Times New Roman"/>
          <w:lang w:val="pt-PT"/>
        </w:rPr>
        <w:t>;</w:t>
      </w:r>
    </w:p>
    <w:p w14:paraId="28E18B91" w14:textId="77777777" w:rsidR="007A392C" w:rsidRPr="002D2FDF" w:rsidRDefault="00DF48E8">
      <w:pPr>
        <w:autoSpaceDE w:val="0"/>
        <w:autoSpaceDN w:val="0"/>
        <w:adjustRightInd w:val="0"/>
        <w:spacing w:after="240" w:line="240" w:lineRule="auto"/>
        <w:jc w:val="both"/>
        <w:rPr>
          <w:rFonts w:ascii="Times New Roman" w:hAnsi="Times New Roman"/>
          <w:sz w:val="24"/>
          <w:szCs w:val="24"/>
          <w:lang w:val="pt-PT"/>
        </w:rPr>
      </w:pPr>
      <w:r w:rsidRPr="002D2FDF">
        <w:rPr>
          <w:rFonts w:ascii="Times New Roman" w:hAnsi="Times New Roman"/>
          <w:lang w:val="pt-PT"/>
        </w:rPr>
        <w:t>b) Se os resultados disserem respeito a uma execução incorreta ou ao incumprimento de outra obrigação, aplica-se o seguinte procedimento:</w:t>
      </w:r>
    </w:p>
    <w:p w14:paraId="6FB3FEE8"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b/>
          <w:lang w:val="pt-PT"/>
        </w:rPr>
        <w:t>Passo 1</w:t>
      </w:r>
      <w:r w:rsidRPr="002D2FDF">
        <w:rPr>
          <w:rFonts w:ascii="Times New Roman" w:hAnsi="Times New Roman"/>
          <w:lang w:val="pt-PT"/>
        </w:rPr>
        <w:t xml:space="preserve"> — A </w:t>
      </w:r>
      <w:r w:rsidRPr="002D2FDF">
        <w:rPr>
          <w:rFonts w:ascii="Times New Roman" w:hAnsi="Times New Roman"/>
          <w:i/>
          <w:lang w:val="pt-PT"/>
        </w:rPr>
        <w:t>notificação formal</w:t>
      </w:r>
      <w:r w:rsidRPr="002D2FDF">
        <w:rPr>
          <w:rFonts w:ascii="Times New Roman" w:hAnsi="Times New Roman"/>
          <w:lang w:val="pt-PT"/>
        </w:rPr>
        <w:t xml:space="preserve"> deve incluir:</w:t>
      </w:r>
    </w:p>
    <w:p w14:paraId="67470430" w14:textId="77777777" w:rsidR="007A392C" w:rsidRPr="002D2FDF" w:rsidRDefault="00DF48E8">
      <w:pPr>
        <w:numPr>
          <w:ilvl w:val="0"/>
          <w:numId w:val="74"/>
        </w:numPr>
        <w:spacing w:before="120" w:after="120" w:line="240" w:lineRule="auto"/>
        <w:jc w:val="both"/>
        <w:rPr>
          <w:rFonts w:ascii="Times New Roman" w:hAnsi="Times New Roman"/>
          <w:sz w:val="24"/>
          <w:szCs w:val="24"/>
          <w:lang w:val="pt-PT"/>
        </w:rPr>
      </w:pPr>
      <w:r w:rsidRPr="002D2FDF">
        <w:rPr>
          <w:rFonts w:ascii="Times New Roman" w:hAnsi="Times New Roman"/>
          <w:lang w:val="pt-PT"/>
        </w:rPr>
        <w:t>Um convite dirigido ao beneficiário para apresentar observações sobre a lista das subvenções afetadas pelos resultados, e</w:t>
      </w:r>
    </w:p>
    <w:p w14:paraId="2A7893A9" w14:textId="77777777" w:rsidR="007A392C" w:rsidRPr="002D2FDF" w:rsidRDefault="00DF48E8">
      <w:pPr>
        <w:numPr>
          <w:ilvl w:val="0"/>
          <w:numId w:val="74"/>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A correção fixa que a Comissão tenciona aplicar ao </w:t>
      </w:r>
      <w:r w:rsidRPr="002D2FDF">
        <w:rPr>
          <w:rFonts w:ascii="Times New Roman" w:hAnsi="Times New Roman"/>
          <w:i/>
          <w:lang w:val="pt-PT"/>
        </w:rPr>
        <w:t>montante máximo da subvenção</w:t>
      </w:r>
      <w:r w:rsidRPr="002D2FDF">
        <w:rPr>
          <w:rFonts w:ascii="Times New Roman" w:hAnsi="Times New Roman"/>
          <w:lang w:val="pt-PT"/>
        </w:rPr>
        <w:t xml:space="preserve"> ou a parte dele, de acordo com o princípio da proporcionalidade.</w:t>
      </w:r>
    </w:p>
    <w:p w14:paraId="6EC57549" w14:textId="77777777" w:rsidR="007A392C" w:rsidRPr="002D2FDF" w:rsidRDefault="00DF48E8">
      <w:pPr>
        <w:spacing w:after="240" w:line="240" w:lineRule="auto"/>
        <w:jc w:val="both"/>
        <w:rPr>
          <w:rFonts w:ascii="Times New Roman" w:hAnsi="Times New Roman"/>
          <w:sz w:val="24"/>
          <w:szCs w:val="24"/>
          <w:lang w:val="pt-PT"/>
        </w:rPr>
      </w:pPr>
      <w:r w:rsidRPr="002D2FDF">
        <w:rPr>
          <w:rFonts w:ascii="Times New Roman" w:hAnsi="Times New Roman"/>
          <w:b/>
          <w:lang w:val="pt-PT"/>
        </w:rPr>
        <w:t>Passo 2</w:t>
      </w:r>
      <w:r w:rsidRPr="002D2FDF">
        <w:rPr>
          <w:rFonts w:ascii="Times New Roman" w:hAnsi="Times New Roman"/>
          <w:lang w:val="pt-PT"/>
        </w:rPr>
        <w:t xml:space="preserve"> — O beneficiário dispõe de um prazo de 60 dias de calendário a contar da receção da </w:t>
      </w:r>
      <w:r w:rsidRPr="002D2FDF">
        <w:rPr>
          <w:rFonts w:ascii="Times New Roman" w:hAnsi="Times New Roman"/>
          <w:i/>
          <w:lang w:val="pt-PT"/>
        </w:rPr>
        <w:t>notificação formal</w:t>
      </w:r>
      <w:r w:rsidRPr="002D2FDF">
        <w:rPr>
          <w:rFonts w:ascii="Times New Roman" w:hAnsi="Times New Roman"/>
          <w:lang w:val="pt-PT"/>
        </w:rPr>
        <w:t xml:space="preserve"> para apresentar as suas observações ou propor uma taxa fixa alternativa devidamente justificada.</w:t>
      </w:r>
    </w:p>
    <w:p w14:paraId="283168E2"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b/>
          <w:lang w:val="pt-PT"/>
        </w:rPr>
        <w:t>Passo 3</w:t>
      </w:r>
      <w:r w:rsidRPr="002D2FDF">
        <w:rPr>
          <w:rFonts w:ascii="Times New Roman" w:hAnsi="Times New Roman"/>
          <w:lang w:val="pt-PT"/>
        </w:rPr>
        <w:t xml:space="preserve"> — Se a Comissão aceitar a taxa fixa alternativa proposta pelo beneficiário, deve enviar-lhe uma </w:t>
      </w:r>
      <w:r w:rsidRPr="002D2FDF">
        <w:rPr>
          <w:rFonts w:ascii="Times New Roman" w:hAnsi="Times New Roman"/>
          <w:i/>
          <w:lang w:val="pt-PT"/>
        </w:rPr>
        <w:t>notificação formal</w:t>
      </w:r>
      <w:r w:rsidRPr="002D2FDF">
        <w:rPr>
          <w:rFonts w:ascii="Times New Roman" w:hAnsi="Times New Roman"/>
          <w:lang w:val="pt-PT"/>
        </w:rPr>
        <w:t>, informando-o:</w:t>
      </w:r>
    </w:p>
    <w:p w14:paraId="0A916738" w14:textId="77777777" w:rsidR="007A392C" w:rsidRPr="002D2FDF" w:rsidRDefault="00DF48E8">
      <w:pPr>
        <w:numPr>
          <w:ilvl w:val="0"/>
          <w:numId w:val="75"/>
        </w:numPr>
        <w:spacing w:before="120" w:after="120" w:line="240" w:lineRule="auto"/>
        <w:jc w:val="both"/>
        <w:rPr>
          <w:rFonts w:ascii="Times New Roman" w:hAnsi="Times New Roman"/>
          <w:sz w:val="24"/>
          <w:szCs w:val="24"/>
          <w:lang w:val="pt-PT"/>
        </w:rPr>
      </w:pPr>
      <w:r w:rsidRPr="002D2FDF">
        <w:rPr>
          <w:rFonts w:ascii="Times New Roman" w:hAnsi="Times New Roman"/>
          <w:lang w:val="pt-PT"/>
        </w:rPr>
        <w:t>De que aceita a taxa fixa alternativa;</w:t>
      </w:r>
    </w:p>
    <w:p w14:paraId="07317CE7" w14:textId="77777777" w:rsidR="007A392C" w:rsidRPr="002D2FDF" w:rsidRDefault="00DF48E8">
      <w:pPr>
        <w:numPr>
          <w:ilvl w:val="0"/>
          <w:numId w:val="75"/>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Do montante corrigido da subvenção aplicando a referida taxa.</w:t>
      </w:r>
    </w:p>
    <w:p w14:paraId="10916E2E" w14:textId="77777777"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lang w:val="pt-PT"/>
        </w:rPr>
        <w:t xml:space="preserve">Caso contrário, a Comissão deve enviar uma </w:t>
      </w:r>
      <w:r w:rsidRPr="002D2FDF">
        <w:rPr>
          <w:rFonts w:ascii="Times New Roman" w:hAnsi="Times New Roman"/>
          <w:i/>
          <w:lang w:val="pt-PT"/>
        </w:rPr>
        <w:t>notificação formal</w:t>
      </w:r>
      <w:r w:rsidRPr="002D2FDF">
        <w:rPr>
          <w:rFonts w:ascii="Times New Roman" w:hAnsi="Times New Roman"/>
          <w:lang w:val="pt-PT"/>
        </w:rPr>
        <w:t xml:space="preserve"> ao beneficiário, informando-o:</w:t>
      </w:r>
    </w:p>
    <w:p w14:paraId="363CA065" w14:textId="77777777" w:rsidR="007A392C" w:rsidRPr="002D2FDF" w:rsidRDefault="00DF48E8">
      <w:pPr>
        <w:numPr>
          <w:ilvl w:val="0"/>
          <w:numId w:val="76"/>
        </w:numPr>
        <w:spacing w:before="120" w:after="120" w:line="240" w:lineRule="auto"/>
        <w:jc w:val="both"/>
        <w:rPr>
          <w:rFonts w:ascii="Times New Roman" w:hAnsi="Times New Roman"/>
          <w:sz w:val="24"/>
          <w:szCs w:val="24"/>
          <w:lang w:val="pt-PT"/>
        </w:rPr>
      </w:pPr>
      <w:r w:rsidRPr="002D2FDF">
        <w:rPr>
          <w:rFonts w:ascii="Times New Roman" w:hAnsi="Times New Roman"/>
          <w:lang w:val="pt-PT"/>
        </w:rPr>
        <w:t>De que não aceita as observações ou a taxa fixa alternativa proposta;</w:t>
      </w:r>
    </w:p>
    <w:p w14:paraId="4EE219AF" w14:textId="77777777" w:rsidR="007A392C" w:rsidRPr="002D2FDF" w:rsidRDefault="00DF48E8">
      <w:pPr>
        <w:numPr>
          <w:ilvl w:val="0"/>
          <w:numId w:val="76"/>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Do montante da subvenção aplicando a taxa fixa inicialmente notificada ao beneficiário.</w:t>
      </w:r>
    </w:p>
    <w:p w14:paraId="530023FE" w14:textId="5B910889" w:rsidR="007A392C" w:rsidRPr="002D2FDF" w:rsidRDefault="00DF48E8">
      <w:pPr>
        <w:spacing w:after="0" w:line="240" w:lineRule="auto"/>
        <w:jc w:val="both"/>
        <w:rPr>
          <w:rFonts w:ascii="Times New Roman" w:hAnsi="Times New Roman"/>
          <w:sz w:val="24"/>
          <w:szCs w:val="24"/>
          <w:lang w:val="pt-PT"/>
        </w:rPr>
      </w:pPr>
      <w:r w:rsidRPr="002D2FDF">
        <w:rPr>
          <w:rFonts w:ascii="Times New Roman" w:hAnsi="Times New Roman"/>
          <w:lang w:val="pt-PT"/>
        </w:rPr>
        <w:t xml:space="preserve">No caso de </w:t>
      </w:r>
      <w:r w:rsidRPr="002D2FDF">
        <w:rPr>
          <w:rFonts w:ascii="Times New Roman" w:hAnsi="Times New Roman"/>
          <w:i/>
          <w:lang w:val="pt-PT"/>
        </w:rPr>
        <w:t>irregularidades</w:t>
      </w:r>
      <w:r w:rsidRPr="002D2FDF">
        <w:rPr>
          <w:rFonts w:ascii="Times New Roman" w:hAnsi="Times New Roman"/>
          <w:lang w:val="pt-PT"/>
        </w:rPr>
        <w:t xml:space="preserve">, </w:t>
      </w:r>
      <w:r w:rsidRPr="002D2FDF">
        <w:rPr>
          <w:rFonts w:ascii="Times New Roman" w:hAnsi="Times New Roman"/>
          <w:i/>
          <w:lang w:val="pt-PT"/>
        </w:rPr>
        <w:t>fraudes</w:t>
      </w:r>
      <w:r w:rsidRPr="002D2FDF">
        <w:rPr>
          <w:rFonts w:ascii="Times New Roman" w:hAnsi="Times New Roman"/>
          <w:lang w:val="pt-PT"/>
        </w:rPr>
        <w:t xml:space="preserve"> ou </w:t>
      </w:r>
      <w:r w:rsidRPr="002D2FDF">
        <w:rPr>
          <w:rFonts w:ascii="Times New Roman" w:hAnsi="Times New Roman"/>
          <w:i/>
          <w:lang w:val="pt-PT"/>
        </w:rPr>
        <w:t>incumprimentos de obrigações</w:t>
      </w:r>
      <w:r w:rsidRPr="002D2FDF">
        <w:rPr>
          <w:rFonts w:ascii="Times New Roman" w:hAnsi="Times New Roman"/>
          <w:lang w:val="pt-PT"/>
        </w:rPr>
        <w:t>, cometidos de forma sistemática ou recorrente, detetados após o pagamento do saldo, o montante a recuperar corresponde à diferença entre:</w:t>
      </w:r>
    </w:p>
    <w:p w14:paraId="4771A3CF" w14:textId="77777777" w:rsidR="007A392C" w:rsidRPr="002D2FDF" w:rsidRDefault="00DF48E8">
      <w:pPr>
        <w:numPr>
          <w:ilvl w:val="0"/>
          <w:numId w:val="77"/>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o montante final revisto da subvenção após a correção fixa; e</w:t>
      </w:r>
    </w:p>
    <w:p w14:paraId="6DA6228C" w14:textId="77777777" w:rsidR="007A392C" w:rsidRPr="002D2FDF" w:rsidRDefault="00DF48E8">
      <w:pPr>
        <w:numPr>
          <w:ilvl w:val="0"/>
          <w:numId w:val="77"/>
        </w:numPr>
        <w:spacing w:before="120" w:after="120" w:line="240" w:lineRule="auto"/>
        <w:ind w:left="714" w:hanging="357"/>
        <w:jc w:val="both"/>
        <w:rPr>
          <w:rFonts w:ascii="Times New Roman" w:hAnsi="Times New Roman"/>
          <w:sz w:val="24"/>
          <w:szCs w:val="24"/>
          <w:lang w:val="pt-PT"/>
        </w:rPr>
      </w:pPr>
      <w:r w:rsidRPr="002D2FDF">
        <w:rPr>
          <w:rFonts w:ascii="Times New Roman" w:hAnsi="Times New Roman"/>
          <w:lang w:val="pt-PT"/>
        </w:rPr>
        <w:t xml:space="preserve">o montante total pago ao beneficiário ao abrigo da convenção para execução da </w:t>
      </w:r>
      <w:r w:rsidRPr="002D2FDF">
        <w:rPr>
          <w:rFonts w:ascii="Times New Roman" w:hAnsi="Times New Roman"/>
          <w:i/>
          <w:lang w:val="pt-PT"/>
        </w:rPr>
        <w:t>ação</w:t>
      </w:r>
      <w:r w:rsidRPr="002D2FDF">
        <w:rPr>
          <w:rFonts w:ascii="Times New Roman" w:hAnsi="Times New Roman"/>
          <w:lang w:val="pt-PT"/>
        </w:rPr>
        <w:t>.</w:t>
      </w:r>
    </w:p>
    <w:p w14:paraId="198859B6" w14:textId="77777777" w:rsidR="007A392C" w:rsidRPr="002D2FDF" w:rsidRDefault="00DF48E8">
      <w:pPr>
        <w:pStyle w:val="Heading3"/>
        <w:jc w:val="both"/>
        <w:rPr>
          <w:rFonts w:ascii="Times New Roman" w:hAnsi="Times New Roman"/>
          <w:lang w:val="pt-PT"/>
        </w:rPr>
      </w:pPr>
      <w:bookmarkStart w:id="136" w:name="_Toc441250891"/>
      <w:bookmarkStart w:id="137" w:name="_Toc446535932"/>
      <w:r w:rsidRPr="002D2FDF">
        <w:rPr>
          <w:rFonts w:ascii="Times New Roman" w:hAnsi="Times New Roman"/>
          <w:lang w:val="pt-PT"/>
        </w:rPr>
        <w:t>II.27.8</w:t>
      </w:r>
      <w:r w:rsidRPr="002D2FDF">
        <w:rPr>
          <w:rFonts w:ascii="Times New Roman" w:hAnsi="Times New Roman"/>
          <w:lang w:val="pt-PT"/>
        </w:rPr>
        <w:tab/>
        <w:t>Verificações e inspeções pelo OLAF</w:t>
      </w:r>
      <w:bookmarkEnd w:id="136"/>
      <w:bookmarkEnd w:id="137"/>
    </w:p>
    <w:p w14:paraId="1EE6508B"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O Organismo Europeu de Luta Antifraude (OLAF) dispõe dos mesmos direitos que a Comissão, nomeadamente o direito de acesso, em matéria de verificações e inquéritos.</w:t>
      </w:r>
    </w:p>
    <w:p w14:paraId="04ACAB88" w14:textId="77777777" w:rsidR="007A392C" w:rsidRPr="002D2FDF" w:rsidRDefault="00DF48E8">
      <w:pPr>
        <w:spacing w:line="240" w:lineRule="auto"/>
        <w:jc w:val="both"/>
        <w:rPr>
          <w:rFonts w:ascii="Times New Roman" w:hAnsi="Times New Roman"/>
          <w:sz w:val="24"/>
          <w:szCs w:val="24"/>
          <w:lang w:val="pt-PT"/>
        </w:rPr>
      </w:pPr>
      <w:r w:rsidRPr="002D2FDF">
        <w:rPr>
          <w:rFonts w:ascii="Times New Roman" w:hAnsi="Times New Roman"/>
          <w:lang w:val="pt-PT"/>
        </w:rPr>
        <w:t>Nos termos do Regulamento (Euratom, CE) n.º 2185/96 do Conselho</w:t>
      </w:r>
      <w:r>
        <w:rPr>
          <w:rStyle w:val="FootnoteReference"/>
          <w:rFonts w:ascii="Times New Roman" w:hAnsi="Times New Roman"/>
        </w:rPr>
        <w:footnoteReference w:id="5"/>
      </w:r>
      <w:r w:rsidRPr="002D2FDF">
        <w:rPr>
          <w:rFonts w:ascii="Times New Roman" w:hAnsi="Times New Roman"/>
          <w:lang w:val="pt-PT"/>
        </w:rPr>
        <w:t xml:space="preserve"> e do Regulamento (UE, Euratom) n.º 883/2013 do Parlamento Europeu e do Conselho</w:t>
      </w:r>
      <w:r>
        <w:rPr>
          <w:rStyle w:val="FootnoteReference"/>
          <w:rFonts w:ascii="Times New Roman" w:hAnsi="Times New Roman"/>
        </w:rPr>
        <w:footnoteReference w:id="6"/>
      </w:r>
      <w:r w:rsidRPr="002D2FDF">
        <w:rPr>
          <w:rFonts w:ascii="Times New Roman" w:hAnsi="Times New Roman"/>
          <w:lang w:val="pt-PT"/>
        </w:rPr>
        <w:t xml:space="preserve">, o OLAF pode igualmente proceder a verificações e a inspeções no local em conformidade com os procedimentos estabelecidos pela legislação da União para a proteção dos interesses financeiros da União contra a </w:t>
      </w:r>
      <w:r w:rsidRPr="002D2FDF">
        <w:rPr>
          <w:rFonts w:ascii="Times New Roman" w:hAnsi="Times New Roman"/>
          <w:i/>
          <w:lang w:val="pt-PT"/>
        </w:rPr>
        <w:t>fraude</w:t>
      </w:r>
      <w:r w:rsidRPr="002D2FDF">
        <w:rPr>
          <w:rFonts w:ascii="Times New Roman" w:hAnsi="Times New Roman"/>
          <w:lang w:val="pt-PT"/>
        </w:rPr>
        <w:t xml:space="preserve"> e outras </w:t>
      </w:r>
      <w:r w:rsidRPr="002D2FDF">
        <w:rPr>
          <w:rFonts w:ascii="Times New Roman" w:hAnsi="Times New Roman"/>
          <w:i/>
          <w:lang w:val="pt-PT"/>
        </w:rPr>
        <w:t>irregularidades</w:t>
      </w:r>
      <w:r w:rsidRPr="002D2FDF">
        <w:rPr>
          <w:rFonts w:ascii="Times New Roman" w:hAnsi="Times New Roman"/>
          <w:lang w:val="pt-PT"/>
        </w:rPr>
        <w:t>.</w:t>
      </w:r>
    </w:p>
    <w:p w14:paraId="6F3D3B5F"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Se for caso disso, os resultados do OLAF podem levar a Comissão a recuperar os montantes junto do beneficiário.</w:t>
      </w:r>
    </w:p>
    <w:p w14:paraId="1B1BA9D8" w14:textId="77777777"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Além disso, as verificações decorrentes de um inquérito do OLAF podem conduzir à instauração de uma ação penal ao abrigo do direito nacional.</w:t>
      </w:r>
    </w:p>
    <w:p w14:paraId="0F4F808A" w14:textId="77777777" w:rsidR="007A392C" w:rsidRPr="002D2FDF" w:rsidRDefault="00851C95">
      <w:pPr>
        <w:pStyle w:val="Heading3"/>
        <w:jc w:val="both"/>
        <w:rPr>
          <w:rFonts w:ascii="Times New Roman" w:hAnsi="Times New Roman"/>
          <w:lang w:val="pt-PT"/>
        </w:rPr>
      </w:pPr>
      <w:bookmarkStart w:id="138" w:name="_Toc441250892"/>
      <w:bookmarkStart w:id="139" w:name="_Toc446535933"/>
      <w:r w:rsidRPr="002D2FDF">
        <w:rPr>
          <w:rFonts w:ascii="Times New Roman" w:hAnsi="Times New Roman"/>
          <w:lang w:val="pt-PT"/>
        </w:rPr>
        <w:t>II.27.9</w:t>
      </w:r>
      <w:r w:rsidRPr="002D2FDF">
        <w:rPr>
          <w:rFonts w:ascii="Times New Roman" w:hAnsi="Times New Roman"/>
          <w:lang w:val="pt-PT"/>
        </w:rPr>
        <w:tab/>
        <w:t>Verificações e auditorias pelo Tribunal de Contas Europeu</w:t>
      </w:r>
      <w:bookmarkEnd w:id="138"/>
      <w:bookmarkEnd w:id="139"/>
    </w:p>
    <w:p w14:paraId="7802E307" w14:textId="660163E8" w:rsidR="007A392C" w:rsidRPr="002D2FDF" w:rsidRDefault="00851C95">
      <w:pPr>
        <w:spacing w:line="240" w:lineRule="auto"/>
        <w:jc w:val="both"/>
        <w:rPr>
          <w:rFonts w:ascii="Times New Roman" w:hAnsi="Times New Roman"/>
          <w:sz w:val="24"/>
          <w:szCs w:val="24"/>
          <w:lang w:val="pt-PT"/>
        </w:rPr>
      </w:pPr>
      <w:r w:rsidRPr="002D2FDF">
        <w:rPr>
          <w:rFonts w:ascii="Times New Roman" w:hAnsi="Times New Roman"/>
          <w:lang w:val="pt-PT"/>
        </w:rPr>
        <w:t>O Tribunal de Contas Europeu e a Procuradoria Europeia, criada pelo Regulamento (UE) 2017/1939 do Conselho («EPPO»), têm os mesmos direitos que a Comissão, nomeadamente o direito de acesso, para efeitos de verificações e auditorias.</w:t>
      </w:r>
    </w:p>
    <w:p w14:paraId="21CC8CE4" w14:textId="77777777" w:rsidR="007A392C" w:rsidRPr="002D2FDF" w:rsidRDefault="007A392C">
      <w:pPr>
        <w:spacing w:line="240" w:lineRule="auto"/>
        <w:rPr>
          <w:rFonts w:ascii="Times New Roman" w:hAnsi="Times New Roman"/>
          <w:sz w:val="24"/>
          <w:szCs w:val="24"/>
          <w:lang w:val="pt-PT"/>
        </w:rPr>
      </w:pPr>
    </w:p>
    <w:sectPr w:rsidR="007A392C" w:rsidRPr="002D2FDF">
      <w:headerReference w:type="default"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2DC4DD" w14:textId="77777777" w:rsidR="007A392C" w:rsidRDefault="00DA3908">
      <w:pPr>
        <w:spacing w:after="0" w:line="240" w:lineRule="auto"/>
      </w:pPr>
      <w:r>
        <w:separator/>
      </w:r>
    </w:p>
  </w:endnote>
  <w:endnote w:type="continuationSeparator" w:id="0">
    <w:p w14:paraId="4B608587" w14:textId="77777777" w:rsidR="007A392C" w:rsidRDefault="00DA3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71B5B5" w14:textId="77777777" w:rsidR="00DA3908" w:rsidRDefault="00DA39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83718B" w14:textId="6237D083" w:rsidR="00DA3908" w:rsidRDefault="00DA3908">
    <w:pPr>
      <w:pStyle w:val="Footer"/>
      <w:jc w:val="right"/>
    </w:pPr>
    <w:r>
      <w:fldChar w:fldCharType="begin"/>
    </w:r>
    <w:r>
      <w:instrText xml:space="preserve"> PAGE   \* MERGEFORMAT </w:instrText>
    </w:r>
    <w:r>
      <w:fldChar w:fldCharType="separate"/>
    </w:r>
    <w:r w:rsidR="00693CDB">
      <w:rPr>
        <w:noProof/>
      </w:rPr>
      <w:t>19</w:t>
    </w:r>
    <w:r>
      <w:rPr>
        <w:noProof/>
      </w:rPr>
      <w:fldChar w:fldCharType="end"/>
    </w:r>
  </w:p>
  <w:p w14:paraId="68A7CD8A" w14:textId="77777777" w:rsidR="00DA3908" w:rsidRDefault="00DA390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1048A5" w14:textId="77777777" w:rsidR="00DA3908" w:rsidRDefault="00DA390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685FAB" w14:textId="7652DC9E" w:rsidR="00DA3908" w:rsidRDefault="00DA3908">
    <w:pPr>
      <w:pStyle w:val="Footer"/>
      <w:jc w:val="right"/>
    </w:pPr>
    <w:r>
      <w:fldChar w:fldCharType="begin"/>
    </w:r>
    <w:r>
      <w:instrText xml:space="preserve"> PAGE   \* MERGEFORMAT </w:instrText>
    </w:r>
    <w:r>
      <w:fldChar w:fldCharType="separate"/>
    </w:r>
    <w:r w:rsidR="00693CDB">
      <w:rPr>
        <w:noProof/>
      </w:rPr>
      <w:t>36</w:t>
    </w:r>
    <w:r>
      <w:rPr>
        <w:noProof/>
      </w:rPr>
      <w:fldChar w:fldCharType="end"/>
    </w:r>
  </w:p>
  <w:p w14:paraId="352B1A09" w14:textId="77777777" w:rsidR="00DA3908" w:rsidRDefault="00DA39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B163A4" w14:textId="77777777" w:rsidR="007A392C" w:rsidRDefault="00DA3908">
      <w:pPr>
        <w:spacing w:after="0" w:line="240" w:lineRule="auto"/>
      </w:pPr>
      <w:r>
        <w:separator/>
      </w:r>
    </w:p>
  </w:footnote>
  <w:footnote w:type="continuationSeparator" w:id="0">
    <w:p w14:paraId="25C25D37" w14:textId="77777777" w:rsidR="007A392C" w:rsidRDefault="00DA3908">
      <w:pPr>
        <w:spacing w:after="0" w:line="240" w:lineRule="auto"/>
      </w:pPr>
      <w:r>
        <w:continuationSeparator/>
      </w:r>
    </w:p>
  </w:footnote>
  <w:footnote w:id="1">
    <w:p w14:paraId="412953DC" w14:textId="0616CB60" w:rsidR="007A392C" w:rsidRPr="002D2FDF" w:rsidRDefault="00DA3908">
      <w:pPr>
        <w:pStyle w:val="FootnoteText"/>
        <w:rPr>
          <w:lang w:val="pt-PT"/>
        </w:rPr>
      </w:pPr>
      <w:r>
        <w:rPr>
          <w:rStyle w:val="FootnoteReference"/>
        </w:rPr>
        <w:footnoteRef/>
      </w:r>
      <w:r w:rsidRPr="002D2FDF">
        <w:rPr>
          <w:lang w:val="pt-PT"/>
        </w:rPr>
        <w:t xml:space="preserve"> </w:t>
      </w:r>
      <w:r w:rsidRPr="002D2FDF">
        <w:rPr>
          <w:rFonts w:ascii="Times New Roman" w:hAnsi="Times New Roman"/>
          <w:lang w:val="pt-PT"/>
        </w:rPr>
        <w:t>Regulamento (UE) 2018/1725 do Parlamento Europeu e do Conselho, de 23 de outubro de 2018, relativo à proteção das pessoas singulares no que diz respeito ao tratamento de dados pessoais pelas instituições e pelos órgãos e organismos da União e à livre circulação desses dados, e que revoga o Regulamento (CE) n.º 45/2001 e a Decisão n.º 1247/2002/CE.</w:t>
      </w:r>
    </w:p>
  </w:footnote>
  <w:footnote w:id="2">
    <w:p w14:paraId="6A5654F7" w14:textId="77777777" w:rsidR="007A392C" w:rsidRPr="002D2FDF" w:rsidRDefault="00DA3908">
      <w:pPr>
        <w:pStyle w:val="FootnoteText"/>
        <w:tabs>
          <w:tab w:val="left" w:pos="284"/>
        </w:tabs>
        <w:spacing w:after="0" w:line="240" w:lineRule="auto"/>
        <w:ind w:left="284" w:hanging="284"/>
        <w:jc w:val="both"/>
        <w:rPr>
          <w:rFonts w:ascii="Times New Roman" w:hAnsi="Times New Roman"/>
          <w:lang w:val="pt-PT"/>
        </w:rPr>
      </w:pPr>
      <w:r>
        <w:rPr>
          <w:rStyle w:val="FootnoteReference"/>
          <w:rFonts w:ascii="Times New Roman" w:hAnsi="Times New Roman"/>
        </w:rPr>
        <w:footnoteRef/>
      </w:r>
      <w:r w:rsidRPr="002D2FDF">
        <w:rPr>
          <w:rFonts w:ascii="Times New Roman" w:hAnsi="Times New Roman"/>
          <w:lang w:val="pt-PT"/>
        </w:rPr>
        <w:t xml:space="preserve"> Diretiva 2014/24/UE do Parlamento Europeu e do Conselho, de 26 de fevereiro de 2014, relativa aos contratos públicos e que revoga a Diretiva 2004/18/CE.</w:t>
      </w:r>
    </w:p>
  </w:footnote>
  <w:footnote w:id="3">
    <w:p w14:paraId="0D0688FC" w14:textId="77777777" w:rsidR="007A392C" w:rsidRPr="002D2FDF" w:rsidRDefault="00DA3908">
      <w:pPr>
        <w:pStyle w:val="FootnoteText"/>
        <w:tabs>
          <w:tab w:val="left" w:pos="284"/>
        </w:tabs>
        <w:spacing w:after="0" w:line="240" w:lineRule="auto"/>
        <w:ind w:left="284" w:hanging="284"/>
        <w:jc w:val="both"/>
        <w:rPr>
          <w:rFonts w:ascii="Times New Roman" w:hAnsi="Times New Roman"/>
          <w:lang w:val="pt-PT"/>
        </w:rPr>
      </w:pPr>
      <w:r>
        <w:rPr>
          <w:rStyle w:val="FootnoteReference"/>
          <w:rFonts w:ascii="Times New Roman" w:hAnsi="Times New Roman"/>
        </w:rPr>
        <w:footnoteRef/>
      </w:r>
      <w:r w:rsidRPr="002D2FDF">
        <w:rPr>
          <w:rFonts w:ascii="Times New Roman" w:hAnsi="Times New Roman"/>
          <w:lang w:val="pt-PT"/>
        </w:rPr>
        <w:t xml:space="preserve"> Diretiva 2014/25/UE do Parlamento Europeu e do Conselho, de 26 de fevereiro de 2014, relativa aos contratos públicos celebrados pelas entidades que operam nos setores da água, da energia, dos transportes e dos serviços postais e que revoga a Diretiva 2004/17/CE.</w:t>
      </w:r>
    </w:p>
  </w:footnote>
  <w:footnote w:id="4">
    <w:p w14:paraId="009B27D2" w14:textId="77777777" w:rsidR="007A392C" w:rsidRPr="002D2FDF" w:rsidRDefault="00DA3908">
      <w:pPr>
        <w:pStyle w:val="FootnoteText"/>
        <w:tabs>
          <w:tab w:val="left" w:pos="284"/>
        </w:tabs>
        <w:spacing w:after="0" w:line="240" w:lineRule="auto"/>
        <w:ind w:left="284" w:hanging="284"/>
        <w:jc w:val="both"/>
        <w:rPr>
          <w:rFonts w:ascii="Times New Roman" w:hAnsi="Times New Roman"/>
          <w:lang w:val="pt-PT"/>
        </w:rPr>
      </w:pPr>
      <w:r>
        <w:rPr>
          <w:rStyle w:val="FootnoteReference"/>
          <w:rFonts w:ascii="Times New Roman" w:hAnsi="Times New Roman"/>
        </w:rPr>
        <w:footnoteRef/>
      </w:r>
      <w:r w:rsidRPr="002D2FDF">
        <w:rPr>
          <w:rFonts w:ascii="Times New Roman" w:hAnsi="Times New Roman"/>
          <w:lang w:val="pt-PT"/>
        </w:rPr>
        <w:t xml:space="preserve"> </w:t>
      </w:r>
      <w:r w:rsidRPr="002D2FDF">
        <w:rPr>
          <w:rFonts w:ascii="Times New Roman" w:hAnsi="Times New Roman"/>
          <w:lang w:val="pt-PT"/>
        </w:rPr>
        <w:tab/>
      </w:r>
      <w:r w:rsidRPr="002D2FDF">
        <w:rPr>
          <w:rFonts w:ascii="Times New Roman" w:hAnsi="Times New Roman"/>
          <w:bCs/>
          <w:lang w:val="pt-PT"/>
        </w:rPr>
        <w:t>Diretiva 2007/64/CE</w:t>
      </w:r>
      <w:r>
        <w:rPr>
          <w:rStyle w:val="FootnoteReference"/>
          <w:rFonts w:ascii="Times New Roman" w:hAnsi="Times New Roman"/>
          <w:bCs/>
        </w:rPr>
        <w:footnoteRef/>
      </w:r>
      <w:r w:rsidRPr="002D2FDF">
        <w:rPr>
          <w:rFonts w:ascii="Times New Roman" w:hAnsi="Times New Roman"/>
          <w:bCs/>
          <w:lang w:val="pt-PT"/>
        </w:rPr>
        <w:t xml:space="preserve"> do Parlamento Europeu e do Conselho, de 13 de novembro de 2007, relativa aos serviços de pagamento no mercado interno, que altera as Diretivas 97/7/CE, 2002/65/CE, 2005/60/CE e 2006/48/CE e revoga a Diretiva 97/5/CE.</w:t>
      </w:r>
    </w:p>
  </w:footnote>
  <w:footnote w:id="5">
    <w:p w14:paraId="41450575" w14:textId="77777777" w:rsidR="007A392C" w:rsidRPr="002D2FDF" w:rsidRDefault="00DA3908">
      <w:pPr>
        <w:pStyle w:val="FootnoteText"/>
        <w:tabs>
          <w:tab w:val="left" w:pos="284"/>
        </w:tabs>
        <w:spacing w:after="0" w:line="240" w:lineRule="auto"/>
        <w:ind w:left="284" w:hanging="284"/>
        <w:jc w:val="both"/>
        <w:rPr>
          <w:rFonts w:ascii="Times New Roman" w:hAnsi="Times New Roman"/>
          <w:lang w:val="pt-PT"/>
        </w:rPr>
      </w:pPr>
      <w:r>
        <w:rPr>
          <w:rStyle w:val="FootnoteReference"/>
          <w:rFonts w:ascii="Times New Roman" w:hAnsi="Times New Roman"/>
        </w:rPr>
        <w:footnoteRef/>
      </w:r>
      <w:r w:rsidRPr="002D2FDF">
        <w:rPr>
          <w:rFonts w:ascii="Times New Roman" w:hAnsi="Times New Roman"/>
          <w:lang w:val="pt-PT"/>
        </w:rPr>
        <w:t xml:space="preserve"> Regulamento (Euratom, CE) n.º 2185/96 do Conselho, de 11 de novembro de 1996, relativo às inspeções e verificações no local efetuadas pela Comissão para proteger os interesses financeiros das Comunidades Europeias contra a fraude e outras irregularidades.</w:t>
      </w:r>
    </w:p>
  </w:footnote>
  <w:footnote w:id="6">
    <w:p w14:paraId="0FEF3CE6" w14:textId="77777777" w:rsidR="007A392C" w:rsidRPr="002D2FDF" w:rsidRDefault="00DA3908">
      <w:pPr>
        <w:pStyle w:val="FootnoteText"/>
        <w:tabs>
          <w:tab w:val="left" w:pos="284"/>
        </w:tabs>
        <w:spacing w:after="0" w:line="240" w:lineRule="auto"/>
        <w:ind w:left="284" w:hanging="284"/>
        <w:rPr>
          <w:rFonts w:ascii="Times New Roman" w:hAnsi="Times New Roman"/>
          <w:lang w:val="pt-PT"/>
        </w:rPr>
      </w:pPr>
      <w:r>
        <w:rPr>
          <w:rStyle w:val="FootnoteReference"/>
          <w:rFonts w:ascii="Times New Roman" w:hAnsi="Times New Roman"/>
        </w:rPr>
        <w:footnoteRef/>
      </w:r>
      <w:r w:rsidRPr="002D2FDF">
        <w:rPr>
          <w:rFonts w:ascii="Times New Roman" w:hAnsi="Times New Roman"/>
          <w:lang w:val="pt-PT"/>
        </w:rPr>
        <w:t xml:space="preserve"> Regulamento (UE, Euratom) n.º 883/2013 do Parlamento Europeu e do Conselho, de 11 de setembro de 2013, relativo aos inquéritos efetuados pelo Organismo Europeu de Luta Antifraude (OLAF).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91F2E2" w14:textId="77777777" w:rsidR="00DA3908" w:rsidRDefault="00DA390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CECA1" w14:textId="77777777" w:rsidR="00DA3908" w:rsidRPr="002D2FDF" w:rsidRDefault="00DA3908" w:rsidP="00F02358">
    <w:pPr>
      <w:pStyle w:val="Header"/>
      <w:rPr>
        <w:sz w:val="18"/>
        <w:lang w:val="pt-PT"/>
      </w:rPr>
    </w:pPr>
    <w:r w:rsidRPr="002D2FDF">
      <w:rPr>
        <w:sz w:val="18"/>
        <w:lang w:val="pt-PT"/>
      </w:rPr>
      <w:t>Corpo Europeu de Solidariedade – Condições gerais</w:t>
    </w:r>
    <w:r w:rsidRPr="002D2FDF">
      <w:rPr>
        <w:b/>
        <w:sz w:val="18"/>
        <w:lang w:val="pt-PT"/>
      </w:rPr>
      <w:br/>
    </w:r>
    <w:r w:rsidRPr="002D2FDF">
      <w:rPr>
        <w:sz w:val="18"/>
        <w:lang w:val="pt-PT"/>
      </w:rPr>
      <w:t>Modelo de convenção de subvenção (monobeneficiário): março de 2019</w:t>
    </w:r>
  </w:p>
  <w:p w14:paraId="430EA28C" w14:textId="77777777" w:rsidR="00DA3908" w:rsidRPr="002D2FDF" w:rsidRDefault="00DA3908" w:rsidP="00F02358">
    <w:pPr>
      <w:pStyle w:val="Header"/>
      <w:rPr>
        <w:lang w:val="pt-PT"/>
      </w:rPr>
    </w:pPr>
    <w:r w:rsidRPr="002D2FDF">
      <w:rPr>
        <w:sz w:val="18"/>
        <w:lang w:val="pt-PT"/>
      </w:rPr>
      <w:t>Número da convenção: [a completar]</w:t>
    </w:r>
    <w:r w:rsidRPr="002D2FDF">
      <w:rPr>
        <w:sz w:val="18"/>
        <w:lang w:val="pt-PT"/>
      </w:rPr>
      <w:tab/>
    </w:r>
    <w:r w:rsidRPr="002D2FDF">
      <w:rPr>
        <w:sz w:val="18"/>
        <w:lang w:val="pt-PT"/>
      </w:rPr>
      <w:tab/>
    </w:r>
  </w:p>
  <w:p w14:paraId="237EA855" w14:textId="77777777" w:rsidR="00DA3908" w:rsidRPr="002D2FDF" w:rsidRDefault="00DA3908">
    <w:pPr>
      <w:pStyle w:val="Header"/>
      <w:rPr>
        <w:lang w:val="pt-P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D5A4D3" w14:textId="77777777" w:rsidR="00DA3908" w:rsidRDefault="00DA390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13E303" w14:textId="416A3468" w:rsidR="00DA3908" w:rsidRPr="002D2FDF" w:rsidRDefault="00DA3908" w:rsidP="00FF03C0">
    <w:pPr>
      <w:pStyle w:val="Header"/>
      <w:rPr>
        <w:sz w:val="18"/>
        <w:lang w:val="pt-PT"/>
      </w:rPr>
    </w:pPr>
    <w:r w:rsidRPr="002D2FDF">
      <w:rPr>
        <w:sz w:val="18"/>
        <w:lang w:val="pt-PT"/>
      </w:rPr>
      <w:t>Corpo Europeu de Solidariedade – Condições gerais</w:t>
    </w:r>
    <w:r w:rsidRPr="002D2FDF">
      <w:rPr>
        <w:b/>
        <w:sz w:val="18"/>
        <w:lang w:val="pt-PT"/>
      </w:rPr>
      <w:br/>
    </w:r>
    <w:r w:rsidRPr="002D2FDF">
      <w:rPr>
        <w:sz w:val="18"/>
        <w:lang w:val="pt-PT"/>
      </w:rPr>
      <w:t xml:space="preserve">Modelo de convenção de subvenção (monobeneficiário): </w:t>
    </w:r>
    <w:r w:rsidR="00C30C89" w:rsidRPr="002D2FDF">
      <w:rPr>
        <w:sz w:val="18"/>
        <w:lang w:val="pt-PT"/>
      </w:rPr>
      <w:t>março de 2019</w:t>
    </w:r>
  </w:p>
  <w:p w14:paraId="54F8D3BD" w14:textId="77777777" w:rsidR="00DA3908" w:rsidRPr="002D2FDF" w:rsidRDefault="00DA3908">
    <w:pPr>
      <w:pStyle w:val="Header"/>
      <w:rPr>
        <w:sz w:val="18"/>
        <w:lang w:val="pt-PT"/>
      </w:rPr>
    </w:pPr>
    <w:r w:rsidRPr="002D2FDF">
      <w:rPr>
        <w:sz w:val="18"/>
        <w:lang w:val="pt-PT"/>
      </w:rPr>
      <w:t>Número da convenção: [a completar]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46697"/>
    <w:multiLevelType w:val="hybridMultilevel"/>
    <w:tmpl w:val="D79AB754"/>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1AA7F0E"/>
    <w:multiLevelType w:val="hybridMultilevel"/>
    <w:tmpl w:val="0C684FC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2AF2DEC"/>
    <w:multiLevelType w:val="hybridMultilevel"/>
    <w:tmpl w:val="F7FE5AB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57A47F2"/>
    <w:multiLevelType w:val="hybridMultilevel"/>
    <w:tmpl w:val="8982E52C"/>
    <w:lvl w:ilvl="0" w:tplc="D5A8105A">
      <w:start w:val="1"/>
      <w:numFmt w:val="lowerLetter"/>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5">
    <w:nsid w:val="08D74C38"/>
    <w:multiLevelType w:val="hybridMultilevel"/>
    <w:tmpl w:val="E4BCA894"/>
    <w:lvl w:ilvl="0" w:tplc="D5A8105A">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
    <w:nsid w:val="0AC3189B"/>
    <w:multiLevelType w:val="hybridMultilevel"/>
    <w:tmpl w:val="86C0F1C4"/>
    <w:lvl w:ilvl="0" w:tplc="6D5AB5C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BCA071B"/>
    <w:multiLevelType w:val="hybridMultilevel"/>
    <w:tmpl w:val="AA54D6C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BFE3585"/>
    <w:multiLevelType w:val="hybridMultilevel"/>
    <w:tmpl w:val="B52E199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0CC106D0"/>
    <w:multiLevelType w:val="hybridMultilevel"/>
    <w:tmpl w:val="27703ECA"/>
    <w:lvl w:ilvl="0" w:tplc="6D5AB5C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08C0461"/>
    <w:multiLevelType w:val="hybridMultilevel"/>
    <w:tmpl w:val="47C4BC9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229639D"/>
    <w:multiLevelType w:val="hybridMultilevel"/>
    <w:tmpl w:val="6F44FAE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3">
    <w:nsid w:val="14176743"/>
    <w:multiLevelType w:val="hybridMultilevel"/>
    <w:tmpl w:val="6D76A9A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5">
    <w:nsid w:val="18FC230D"/>
    <w:multiLevelType w:val="hybridMultilevel"/>
    <w:tmpl w:val="DA32558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A0D07E3"/>
    <w:multiLevelType w:val="hybridMultilevel"/>
    <w:tmpl w:val="7F041AE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2317B92"/>
    <w:multiLevelType w:val="hybridMultilevel"/>
    <w:tmpl w:val="812294C6"/>
    <w:lvl w:ilvl="0" w:tplc="6D5AB5C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9">
    <w:nsid w:val="24B26F46"/>
    <w:multiLevelType w:val="hybridMultilevel"/>
    <w:tmpl w:val="3C7A8C0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6BA6E5F"/>
    <w:multiLevelType w:val="hybridMultilevel"/>
    <w:tmpl w:val="24727314"/>
    <w:lvl w:ilvl="0" w:tplc="D5A8105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8B96AC3"/>
    <w:multiLevelType w:val="hybridMultilevel"/>
    <w:tmpl w:val="778226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3">
    <w:nsid w:val="2EA1124C"/>
    <w:multiLevelType w:val="hybridMultilevel"/>
    <w:tmpl w:val="B75E3D5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2EC04A76"/>
    <w:multiLevelType w:val="hybridMultilevel"/>
    <w:tmpl w:val="9B00C38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31A70C47"/>
    <w:multiLevelType w:val="hybridMultilevel"/>
    <w:tmpl w:val="55344584"/>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33200290"/>
    <w:multiLevelType w:val="hybridMultilevel"/>
    <w:tmpl w:val="E188A1D2"/>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8">
    <w:nsid w:val="3A8C5DB3"/>
    <w:multiLevelType w:val="hybridMultilevel"/>
    <w:tmpl w:val="D46A7188"/>
    <w:lvl w:ilvl="0" w:tplc="D5A8105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3D1759D2"/>
    <w:multiLevelType w:val="hybridMultilevel"/>
    <w:tmpl w:val="369A3A3E"/>
    <w:lvl w:ilvl="0" w:tplc="D5A8105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nsid w:val="3D371558"/>
    <w:multiLevelType w:val="hybridMultilevel"/>
    <w:tmpl w:val="2E1A0008"/>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424E6701"/>
    <w:multiLevelType w:val="hybridMultilevel"/>
    <w:tmpl w:val="9CBC569C"/>
    <w:lvl w:ilvl="0" w:tplc="94F2B4EE">
      <w:start w:val="1"/>
      <w:numFmt w:val="lowerRoman"/>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2">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42917EAC"/>
    <w:multiLevelType w:val="hybridMultilevel"/>
    <w:tmpl w:val="AE4C0FB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42A32608"/>
    <w:multiLevelType w:val="hybridMultilevel"/>
    <w:tmpl w:val="7D06F35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42E22311"/>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436D5F45"/>
    <w:multiLevelType w:val="hybridMultilevel"/>
    <w:tmpl w:val="495CA708"/>
    <w:lvl w:ilvl="0" w:tplc="5D422416">
      <w:start w:val="1"/>
      <w:numFmt w:val="lowerRoman"/>
      <w:suff w:val="space"/>
      <w:lvlText w:val="(%1)"/>
      <w:lvlJc w:val="left"/>
      <w:pPr>
        <w:ind w:left="1287" w:hanging="360"/>
      </w:pPr>
      <w:rPr>
        <w:rFonts w:hint="default"/>
      </w:rPr>
    </w:lvl>
    <w:lvl w:ilvl="1" w:tplc="6D5AB5CA">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45F218C7"/>
    <w:multiLevelType w:val="hybridMultilevel"/>
    <w:tmpl w:val="19BC9C8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4677156C"/>
    <w:multiLevelType w:val="hybridMultilevel"/>
    <w:tmpl w:val="9BB2A074"/>
    <w:lvl w:ilvl="0" w:tplc="94F2B4EE">
      <w:start w:val="1"/>
      <w:numFmt w:val="lowerRoman"/>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1">
    <w:nsid w:val="48547FC0"/>
    <w:multiLevelType w:val="hybridMultilevel"/>
    <w:tmpl w:val="6C02EEC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48733AE1"/>
    <w:multiLevelType w:val="hybridMultilevel"/>
    <w:tmpl w:val="2D3A71A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nsid w:val="49E055FC"/>
    <w:multiLevelType w:val="hybridMultilevel"/>
    <w:tmpl w:val="E4BCA894"/>
    <w:lvl w:ilvl="0" w:tplc="D5A8105A">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45">
    <w:nsid w:val="4A061FC3"/>
    <w:multiLevelType w:val="hybridMultilevel"/>
    <w:tmpl w:val="112C020E"/>
    <w:lvl w:ilvl="0" w:tplc="50C654F6">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4D494203"/>
    <w:multiLevelType w:val="hybridMultilevel"/>
    <w:tmpl w:val="9670C6FC"/>
    <w:lvl w:ilvl="0" w:tplc="4A24D532">
      <w:start w:val="1"/>
      <w:numFmt w:val="lowerRoman"/>
      <w:lvlText w:val="(%1)"/>
      <w:lvlJc w:val="left"/>
      <w:pPr>
        <w:ind w:left="720" w:hanging="360"/>
      </w:pPr>
      <w:rPr>
        <w:rFonts w:hint="default"/>
      </w:rPr>
    </w:lvl>
    <w:lvl w:ilvl="1" w:tplc="94F2B4EE">
      <w:start w:val="1"/>
      <w:numFmt w:val="low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4E8B71CF"/>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5179633E"/>
    <w:multiLevelType w:val="multilevel"/>
    <w:tmpl w:val="F7E48F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9">
    <w:nsid w:val="51B720EA"/>
    <w:multiLevelType w:val="hybridMultilevel"/>
    <w:tmpl w:val="F60E1F8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53687FB5"/>
    <w:multiLevelType w:val="multilevel"/>
    <w:tmpl w:val="4F280138"/>
    <w:lvl w:ilvl="0">
      <w:start w:val="1"/>
      <w:numFmt w:val="lowerLetter"/>
      <w:lvlText w:val="(%1)"/>
      <w:lvlJc w:val="left"/>
      <w:pPr>
        <w:tabs>
          <w:tab w:val="num" w:pos="720"/>
        </w:tabs>
        <w:ind w:left="720" w:hanging="360"/>
      </w:pPr>
      <w:rPr>
        <w:rFonts w:hint="default"/>
        <w:sz w:val="24"/>
        <w:szCs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bullet"/>
      <w:lvlText w:val=""/>
      <w:lvlJc w:val="left"/>
      <w:pPr>
        <w:tabs>
          <w:tab w:val="num" w:pos="1800"/>
        </w:tabs>
        <w:ind w:left="1800" w:hanging="360"/>
      </w:pPr>
      <w:rPr>
        <w:rFonts w:ascii="Symbol" w:hAnsi="Symbol" w:hint="default"/>
      </w:rPr>
    </w:lvl>
    <w:lvl w:ilvl="4">
      <w:numFmt w:val="bullet"/>
      <w:lvlText w:val="-"/>
      <w:lvlJc w:val="left"/>
      <w:pPr>
        <w:tabs>
          <w:tab w:val="num" w:pos="2160"/>
        </w:tabs>
        <w:ind w:left="2160" w:hanging="360"/>
      </w:pPr>
      <w:rPr>
        <w:rFonts w:hint="default"/>
      </w:r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1">
    <w:nsid w:val="546D2A56"/>
    <w:multiLevelType w:val="hybridMultilevel"/>
    <w:tmpl w:val="CB20026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53">
    <w:nsid w:val="567E5DAD"/>
    <w:multiLevelType w:val="hybridMultilevel"/>
    <w:tmpl w:val="8BA02416"/>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56F654A0"/>
    <w:multiLevelType w:val="hybridMultilevel"/>
    <w:tmpl w:val="AEF69B0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57232DDB"/>
    <w:multiLevelType w:val="hybridMultilevel"/>
    <w:tmpl w:val="B1DA6D5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57CF6BE9"/>
    <w:multiLevelType w:val="hybridMultilevel"/>
    <w:tmpl w:val="DFE4B9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nsid w:val="57FB05EE"/>
    <w:multiLevelType w:val="hybridMultilevel"/>
    <w:tmpl w:val="8982E52C"/>
    <w:lvl w:ilvl="0" w:tplc="D5A8105A">
      <w:start w:val="1"/>
      <w:numFmt w:val="lowerLetter"/>
      <w:lvlText w:val="(%1)"/>
      <w:lvlJc w:val="left"/>
      <w:pPr>
        <w:ind w:left="1318" w:hanging="360"/>
      </w:pPr>
      <w:rPr>
        <w:rFonts w:hint="default"/>
      </w:rPr>
    </w:lvl>
    <w:lvl w:ilvl="1" w:tplc="08090019" w:tentative="1">
      <w:start w:val="1"/>
      <w:numFmt w:val="lowerLetter"/>
      <w:lvlText w:val="%2."/>
      <w:lvlJc w:val="left"/>
      <w:pPr>
        <w:ind w:left="2038" w:hanging="360"/>
      </w:pPr>
    </w:lvl>
    <w:lvl w:ilvl="2" w:tplc="0809001B" w:tentative="1">
      <w:start w:val="1"/>
      <w:numFmt w:val="lowerRoman"/>
      <w:lvlText w:val="%3."/>
      <w:lvlJc w:val="right"/>
      <w:pPr>
        <w:ind w:left="2758" w:hanging="180"/>
      </w:pPr>
    </w:lvl>
    <w:lvl w:ilvl="3" w:tplc="0809000F" w:tentative="1">
      <w:start w:val="1"/>
      <w:numFmt w:val="decimal"/>
      <w:lvlText w:val="%4."/>
      <w:lvlJc w:val="left"/>
      <w:pPr>
        <w:ind w:left="3478" w:hanging="360"/>
      </w:pPr>
    </w:lvl>
    <w:lvl w:ilvl="4" w:tplc="08090019" w:tentative="1">
      <w:start w:val="1"/>
      <w:numFmt w:val="lowerLetter"/>
      <w:lvlText w:val="%5."/>
      <w:lvlJc w:val="left"/>
      <w:pPr>
        <w:ind w:left="4198" w:hanging="360"/>
      </w:pPr>
    </w:lvl>
    <w:lvl w:ilvl="5" w:tplc="0809001B" w:tentative="1">
      <w:start w:val="1"/>
      <w:numFmt w:val="lowerRoman"/>
      <w:lvlText w:val="%6."/>
      <w:lvlJc w:val="right"/>
      <w:pPr>
        <w:ind w:left="4918" w:hanging="180"/>
      </w:pPr>
    </w:lvl>
    <w:lvl w:ilvl="6" w:tplc="0809000F" w:tentative="1">
      <w:start w:val="1"/>
      <w:numFmt w:val="decimal"/>
      <w:lvlText w:val="%7."/>
      <w:lvlJc w:val="left"/>
      <w:pPr>
        <w:ind w:left="5638" w:hanging="360"/>
      </w:pPr>
    </w:lvl>
    <w:lvl w:ilvl="7" w:tplc="08090019" w:tentative="1">
      <w:start w:val="1"/>
      <w:numFmt w:val="lowerLetter"/>
      <w:lvlText w:val="%8."/>
      <w:lvlJc w:val="left"/>
      <w:pPr>
        <w:ind w:left="6358" w:hanging="360"/>
      </w:pPr>
    </w:lvl>
    <w:lvl w:ilvl="8" w:tplc="0809001B" w:tentative="1">
      <w:start w:val="1"/>
      <w:numFmt w:val="lowerRoman"/>
      <w:lvlText w:val="%9."/>
      <w:lvlJc w:val="right"/>
      <w:pPr>
        <w:ind w:left="7078" w:hanging="180"/>
      </w:pPr>
    </w:lvl>
  </w:abstractNum>
  <w:abstractNum w:abstractNumId="58">
    <w:nsid w:val="58730AA8"/>
    <w:multiLevelType w:val="hybridMultilevel"/>
    <w:tmpl w:val="1800F71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nsid w:val="5AA64A51"/>
    <w:multiLevelType w:val="hybridMultilevel"/>
    <w:tmpl w:val="8982E52C"/>
    <w:lvl w:ilvl="0" w:tplc="D5A8105A">
      <w:start w:val="1"/>
      <w:numFmt w:val="lowerLetter"/>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60">
    <w:nsid w:val="5ABB7CB2"/>
    <w:multiLevelType w:val="hybridMultilevel"/>
    <w:tmpl w:val="0B96E3E4"/>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nsid w:val="5E0D5783"/>
    <w:multiLevelType w:val="hybridMultilevel"/>
    <w:tmpl w:val="F7E6D01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nsid w:val="5F01659F"/>
    <w:multiLevelType w:val="hybridMultilevel"/>
    <w:tmpl w:val="850EFF4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nsid w:val="5FD366C9"/>
    <w:multiLevelType w:val="hybridMultilevel"/>
    <w:tmpl w:val="CBCA883E"/>
    <w:lvl w:ilvl="0" w:tplc="4A24D532">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nsid w:val="6141353C"/>
    <w:multiLevelType w:val="hybridMultilevel"/>
    <w:tmpl w:val="E0EE9508"/>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nsid w:val="62B6278B"/>
    <w:multiLevelType w:val="hybridMultilevel"/>
    <w:tmpl w:val="76261FDC"/>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nsid w:val="64B668D4"/>
    <w:multiLevelType w:val="hybridMultilevel"/>
    <w:tmpl w:val="9B3480C8"/>
    <w:lvl w:ilvl="0" w:tplc="D5A8105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7">
    <w:nsid w:val="654A1CAC"/>
    <w:multiLevelType w:val="hybridMultilevel"/>
    <w:tmpl w:val="427AA1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nsid w:val="65C20F49"/>
    <w:multiLevelType w:val="hybridMultilevel"/>
    <w:tmpl w:val="0AB03F78"/>
    <w:lvl w:ilvl="0" w:tplc="6D5AB5C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nsid w:val="65E84609"/>
    <w:multiLevelType w:val="hybridMultilevel"/>
    <w:tmpl w:val="10A276B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71">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72">
    <w:nsid w:val="6A32567A"/>
    <w:multiLevelType w:val="hybridMultilevel"/>
    <w:tmpl w:val="B75E3D5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nsid w:val="6C6529B2"/>
    <w:multiLevelType w:val="hybridMultilevel"/>
    <w:tmpl w:val="79FA102C"/>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nsid w:val="6D522CB8"/>
    <w:multiLevelType w:val="hybridMultilevel"/>
    <w:tmpl w:val="2A4CFB9E"/>
    <w:lvl w:ilvl="0" w:tplc="64988532">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nsid w:val="6DF51693"/>
    <w:multiLevelType w:val="hybridMultilevel"/>
    <w:tmpl w:val="643A7CB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77">
    <w:nsid w:val="702D4D09"/>
    <w:multiLevelType w:val="hybridMultilevel"/>
    <w:tmpl w:val="778226D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nsid w:val="702F7E66"/>
    <w:multiLevelType w:val="hybridMultilevel"/>
    <w:tmpl w:val="55C4D96C"/>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nsid w:val="71325247"/>
    <w:multiLevelType w:val="hybridMultilevel"/>
    <w:tmpl w:val="7E121DB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nsid w:val="71D72855"/>
    <w:multiLevelType w:val="hybridMultilevel"/>
    <w:tmpl w:val="F8EABE2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nsid w:val="73C50C62"/>
    <w:multiLevelType w:val="hybridMultilevel"/>
    <w:tmpl w:val="754C68F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nsid w:val="75146312"/>
    <w:multiLevelType w:val="hybridMultilevel"/>
    <w:tmpl w:val="F7A29D4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nsid w:val="76834DDF"/>
    <w:multiLevelType w:val="hybridMultilevel"/>
    <w:tmpl w:val="8766B6EA"/>
    <w:lvl w:ilvl="0" w:tplc="6D5AB5C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nsid w:val="77F668AB"/>
    <w:multiLevelType w:val="hybridMultilevel"/>
    <w:tmpl w:val="4EC89ED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nsid w:val="781F0D9A"/>
    <w:multiLevelType w:val="hybridMultilevel"/>
    <w:tmpl w:val="E110DB66"/>
    <w:lvl w:ilvl="0" w:tplc="85F44E24">
      <w:start w:val="2"/>
      <w:numFmt w:val="bullet"/>
      <w:lvlText w:val="-"/>
      <w:lvlJc w:val="left"/>
      <w:pPr>
        <w:ind w:left="720" w:hanging="360"/>
      </w:pPr>
      <w:rPr>
        <w:rFonts w:ascii="Calibri" w:eastAsia="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nsid w:val="78B34675"/>
    <w:multiLevelType w:val="hybridMultilevel"/>
    <w:tmpl w:val="7542DF12"/>
    <w:lvl w:ilvl="0" w:tplc="1DC67444">
      <w:start w:val="2"/>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7">
    <w:nsid w:val="7F99776F"/>
    <w:multiLevelType w:val="hybridMultilevel"/>
    <w:tmpl w:val="D1763BAA"/>
    <w:lvl w:ilvl="0" w:tplc="6D5AB5C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nsid w:val="7FB0689A"/>
    <w:multiLevelType w:val="hybridMultilevel"/>
    <w:tmpl w:val="EFA673EC"/>
    <w:lvl w:ilvl="0" w:tplc="4A24D532">
      <w:start w:val="1"/>
      <w:numFmt w:val="lowerRoman"/>
      <w:lvlText w:val="(%1)"/>
      <w:lvlJc w:val="left"/>
      <w:pPr>
        <w:ind w:left="720" w:hanging="360"/>
      </w:pPr>
      <w:rPr>
        <w:rFonts w:hint="default"/>
      </w:rPr>
    </w:lvl>
    <w:lvl w:ilvl="1" w:tplc="B4A4A62A">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6"/>
  </w:num>
  <w:num w:numId="2">
    <w:abstractNumId w:val="52"/>
  </w:num>
  <w:num w:numId="3">
    <w:abstractNumId w:val="27"/>
  </w:num>
  <w:num w:numId="4">
    <w:abstractNumId w:val="22"/>
  </w:num>
  <w:num w:numId="5">
    <w:abstractNumId w:val="14"/>
  </w:num>
  <w:num w:numId="6">
    <w:abstractNumId w:val="12"/>
  </w:num>
  <w:num w:numId="7">
    <w:abstractNumId w:val="71"/>
  </w:num>
  <w:num w:numId="8">
    <w:abstractNumId w:val="70"/>
  </w:num>
  <w:num w:numId="9">
    <w:abstractNumId w:val="76"/>
  </w:num>
  <w:num w:numId="10">
    <w:abstractNumId w:val="18"/>
  </w:num>
  <w:num w:numId="11">
    <w:abstractNumId w:val="32"/>
  </w:num>
  <w:num w:numId="12">
    <w:abstractNumId w:val="39"/>
  </w:num>
  <w:num w:numId="13">
    <w:abstractNumId w:val="37"/>
  </w:num>
  <w:num w:numId="14">
    <w:abstractNumId w:val="3"/>
  </w:num>
  <w:num w:numId="15">
    <w:abstractNumId w:val="43"/>
  </w:num>
  <w:num w:numId="16">
    <w:abstractNumId w:val="50"/>
  </w:num>
  <w:num w:numId="17">
    <w:abstractNumId w:val="58"/>
  </w:num>
  <w:num w:numId="18">
    <w:abstractNumId w:val="73"/>
  </w:num>
  <w:num w:numId="19">
    <w:abstractNumId w:val="51"/>
  </w:num>
  <w:num w:numId="20">
    <w:abstractNumId w:val="64"/>
  </w:num>
  <w:num w:numId="21">
    <w:abstractNumId w:val="7"/>
  </w:num>
  <w:num w:numId="22">
    <w:abstractNumId w:val="49"/>
  </w:num>
  <w:num w:numId="23">
    <w:abstractNumId w:val="82"/>
  </w:num>
  <w:num w:numId="24">
    <w:abstractNumId w:val="75"/>
  </w:num>
  <w:num w:numId="25">
    <w:abstractNumId w:val="29"/>
  </w:num>
  <w:num w:numId="26">
    <w:abstractNumId w:val="44"/>
  </w:num>
  <w:num w:numId="27">
    <w:abstractNumId w:val="5"/>
  </w:num>
  <w:num w:numId="28">
    <w:abstractNumId w:val="84"/>
  </w:num>
  <w:num w:numId="29">
    <w:abstractNumId w:val="54"/>
  </w:num>
  <w:num w:numId="30">
    <w:abstractNumId w:val="55"/>
  </w:num>
  <w:num w:numId="31">
    <w:abstractNumId w:val="30"/>
  </w:num>
  <w:num w:numId="32">
    <w:abstractNumId w:val="15"/>
  </w:num>
  <w:num w:numId="33">
    <w:abstractNumId w:val="13"/>
  </w:num>
  <w:num w:numId="34">
    <w:abstractNumId w:val="69"/>
  </w:num>
  <w:num w:numId="35">
    <w:abstractNumId w:val="80"/>
  </w:num>
  <w:num w:numId="36">
    <w:abstractNumId w:val="62"/>
  </w:num>
  <w:num w:numId="37">
    <w:abstractNumId w:val="63"/>
  </w:num>
  <w:num w:numId="38">
    <w:abstractNumId w:val="88"/>
  </w:num>
  <w:num w:numId="39">
    <w:abstractNumId w:val="78"/>
  </w:num>
  <w:num w:numId="40">
    <w:abstractNumId w:val="34"/>
  </w:num>
  <w:num w:numId="41">
    <w:abstractNumId w:val="81"/>
  </w:num>
  <w:num w:numId="42">
    <w:abstractNumId w:val="2"/>
  </w:num>
  <w:num w:numId="43">
    <w:abstractNumId w:val="24"/>
  </w:num>
  <w:num w:numId="44">
    <w:abstractNumId w:val="42"/>
  </w:num>
  <w:num w:numId="45">
    <w:abstractNumId w:val="67"/>
  </w:num>
  <w:num w:numId="46">
    <w:abstractNumId w:val="45"/>
  </w:num>
  <w:num w:numId="47">
    <w:abstractNumId w:val="74"/>
  </w:num>
  <w:num w:numId="48">
    <w:abstractNumId w:val="11"/>
  </w:num>
  <w:num w:numId="49">
    <w:abstractNumId w:val="10"/>
  </w:num>
  <w:num w:numId="50">
    <w:abstractNumId w:val="33"/>
  </w:num>
  <w:num w:numId="51">
    <w:abstractNumId w:val="1"/>
  </w:num>
  <w:num w:numId="52">
    <w:abstractNumId w:val="65"/>
  </w:num>
  <w:num w:numId="53">
    <w:abstractNumId w:val="0"/>
  </w:num>
  <w:num w:numId="54">
    <w:abstractNumId w:val="25"/>
  </w:num>
  <w:num w:numId="55">
    <w:abstractNumId w:val="53"/>
  </w:num>
  <w:num w:numId="56">
    <w:abstractNumId w:val="60"/>
  </w:num>
  <w:num w:numId="57">
    <w:abstractNumId w:val="56"/>
  </w:num>
  <w:num w:numId="58">
    <w:abstractNumId w:val="4"/>
  </w:num>
  <w:num w:numId="59">
    <w:abstractNumId w:val="66"/>
  </w:num>
  <w:num w:numId="60">
    <w:abstractNumId w:val="72"/>
  </w:num>
  <w:num w:numId="61">
    <w:abstractNumId w:val="61"/>
  </w:num>
  <w:num w:numId="62">
    <w:abstractNumId w:val="8"/>
  </w:num>
  <w:num w:numId="63">
    <w:abstractNumId w:val="41"/>
  </w:num>
  <w:num w:numId="64">
    <w:abstractNumId w:val="28"/>
  </w:num>
  <w:num w:numId="65">
    <w:abstractNumId w:val="20"/>
  </w:num>
  <w:num w:numId="66">
    <w:abstractNumId w:val="79"/>
  </w:num>
  <w:num w:numId="67">
    <w:abstractNumId w:val="21"/>
  </w:num>
  <w:num w:numId="68">
    <w:abstractNumId w:val="77"/>
  </w:num>
  <w:num w:numId="69">
    <w:abstractNumId w:val="16"/>
  </w:num>
  <w:num w:numId="70">
    <w:abstractNumId w:val="87"/>
  </w:num>
  <w:num w:numId="71">
    <w:abstractNumId w:val="83"/>
  </w:num>
  <w:num w:numId="72">
    <w:abstractNumId w:val="68"/>
  </w:num>
  <w:num w:numId="73">
    <w:abstractNumId w:val="9"/>
  </w:num>
  <w:num w:numId="74">
    <w:abstractNumId w:val="17"/>
  </w:num>
  <w:num w:numId="75">
    <w:abstractNumId w:val="6"/>
  </w:num>
  <w:num w:numId="76">
    <w:abstractNumId w:val="19"/>
  </w:num>
  <w:num w:numId="77">
    <w:abstractNumId w:val="26"/>
  </w:num>
  <w:num w:numId="78">
    <w:abstractNumId w:val="31"/>
  </w:num>
  <w:num w:numId="79">
    <w:abstractNumId w:val="48"/>
  </w:num>
  <w:num w:numId="8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59"/>
  </w:num>
  <w:num w:numId="110">
    <w:abstractNumId w:val="57"/>
  </w:num>
  <w:num w:numId="111">
    <w:abstractNumId w:val="23"/>
  </w:num>
  <w:num w:numId="112">
    <w:abstractNumId w:val="40"/>
  </w:num>
  <w:num w:numId="113">
    <w:abstractNumId w:val="38"/>
  </w:num>
  <w:num w:numId="114">
    <w:abstractNumId w:val="47"/>
  </w:num>
  <w:num w:numId="115">
    <w:abstractNumId w:val="85"/>
  </w:num>
  <w:num w:numId="116">
    <w:abstractNumId w:val="35"/>
  </w:num>
  <w:num w:numId="117">
    <w:abstractNumId w:val="46"/>
  </w:num>
  <w:num w:numId="118">
    <w:abstractNumId w:val="86"/>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51C95"/>
    <w:rsid w:val="00051F63"/>
    <w:rsid w:val="00064675"/>
    <w:rsid w:val="000B589A"/>
    <w:rsid w:val="000C6D0E"/>
    <w:rsid w:val="0011271A"/>
    <w:rsid w:val="001D2E5D"/>
    <w:rsid w:val="001F37D9"/>
    <w:rsid w:val="00204478"/>
    <w:rsid w:val="00210754"/>
    <w:rsid w:val="002108DF"/>
    <w:rsid w:val="002133A0"/>
    <w:rsid w:val="00217505"/>
    <w:rsid w:val="00221756"/>
    <w:rsid w:val="00292179"/>
    <w:rsid w:val="002B19F1"/>
    <w:rsid w:val="002C6FAB"/>
    <w:rsid w:val="002D2FDF"/>
    <w:rsid w:val="00321E73"/>
    <w:rsid w:val="0037350C"/>
    <w:rsid w:val="00385B3C"/>
    <w:rsid w:val="00462AA2"/>
    <w:rsid w:val="004E339B"/>
    <w:rsid w:val="004F1994"/>
    <w:rsid w:val="00507729"/>
    <w:rsid w:val="00511E7C"/>
    <w:rsid w:val="00514D4B"/>
    <w:rsid w:val="00531303"/>
    <w:rsid w:val="00573AF2"/>
    <w:rsid w:val="005864B2"/>
    <w:rsid w:val="005C12A3"/>
    <w:rsid w:val="005C262B"/>
    <w:rsid w:val="005E1DFB"/>
    <w:rsid w:val="00605760"/>
    <w:rsid w:val="00693CDB"/>
    <w:rsid w:val="006A3A0E"/>
    <w:rsid w:val="006E2A05"/>
    <w:rsid w:val="006E6B2E"/>
    <w:rsid w:val="006F0FC6"/>
    <w:rsid w:val="006F4E30"/>
    <w:rsid w:val="0071610D"/>
    <w:rsid w:val="007536EA"/>
    <w:rsid w:val="00767BBC"/>
    <w:rsid w:val="007852F7"/>
    <w:rsid w:val="007A04A1"/>
    <w:rsid w:val="007A392C"/>
    <w:rsid w:val="007F349E"/>
    <w:rsid w:val="00822407"/>
    <w:rsid w:val="008449F5"/>
    <w:rsid w:val="00851C95"/>
    <w:rsid w:val="00860096"/>
    <w:rsid w:val="0097435B"/>
    <w:rsid w:val="009A0FE4"/>
    <w:rsid w:val="009B5EDF"/>
    <w:rsid w:val="009C1770"/>
    <w:rsid w:val="00A81491"/>
    <w:rsid w:val="00AC2576"/>
    <w:rsid w:val="00AF5DC5"/>
    <w:rsid w:val="00B24187"/>
    <w:rsid w:val="00B65F25"/>
    <w:rsid w:val="00B666F3"/>
    <w:rsid w:val="00B753BD"/>
    <w:rsid w:val="00BB1FCB"/>
    <w:rsid w:val="00C30C89"/>
    <w:rsid w:val="00C4458E"/>
    <w:rsid w:val="00C4637E"/>
    <w:rsid w:val="00C51A64"/>
    <w:rsid w:val="00CB578F"/>
    <w:rsid w:val="00CC060A"/>
    <w:rsid w:val="00D15AA3"/>
    <w:rsid w:val="00D92765"/>
    <w:rsid w:val="00DA3908"/>
    <w:rsid w:val="00DF48E8"/>
    <w:rsid w:val="00DF7CB6"/>
    <w:rsid w:val="00E0586F"/>
    <w:rsid w:val="00E40790"/>
    <w:rsid w:val="00E639C1"/>
    <w:rsid w:val="00E66E44"/>
    <w:rsid w:val="00E94DD6"/>
    <w:rsid w:val="00EA1EF7"/>
    <w:rsid w:val="00EE59FC"/>
    <w:rsid w:val="00F02358"/>
    <w:rsid w:val="00F51A9F"/>
    <w:rsid w:val="00F57F1D"/>
    <w:rsid w:val="00F61BC3"/>
    <w:rsid w:val="00F90671"/>
    <w:rsid w:val="00FC0FFD"/>
    <w:rsid w:val="00FE470E"/>
    <w:rsid w:val="00FF03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3A5E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1C95"/>
    <w:pPr>
      <w:spacing w:after="200" w:line="276" w:lineRule="auto"/>
    </w:pPr>
    <w:rPr>
      <w:sz w:val="22"/>
      <w:szCs w:val="22"/>
      <w:lang w:eastAsia="en-US"/>
    </w:rPr>
  </w:style>
  <w:style w:type="paragraph" w:styleId="Heading1">
    <w:name w:val="heading 1"/>
    <w:basedOn w:val="Title"/>
    <w:next w:val="Normal"/>
    <w:link w:val="Heading1Char"/>
    <w:uiPriority w:val="9"/>
    <w:qFormat/>
    <w:rsid w:val="00851C95"/>
    <w:pPr>
      <w:tabs>
        <w:tab w:val="clear" w:pos="-1440"/>
        <w:tab w:val="clear" w:pos="-720"/>
        <w:tab w:val="clear" w:pos="828"/>
        <w:tab w:val="clear" w:pos="1044"/>
        <w:tab w:val="clear" w:pos="1260"/>
        <w:tab w:val="clear" w:pos="1476"/>
        <w:tab w:val="clear" w:pos="1692"/>
        <w:tab w:val="clear" w:pos="2160"/>
      </w:tabs>
      <w:spacing w:before="240" w:after="360"/>
      <w:outlineLvl w:val="0"/>
    </w:pPr>
    <w:rPr>
      <w:rFonts w:ascii="Times New Roman Bold" w:hAnsi="Times New Roman Bold"/>
      <w:bCs w:val="0"/>
      <w:caps/>
      <w:snapToGrid/>
      <w:sz w:val="24"/>
      <w:szCs w:val="24"/>
      <w:lang w:val="en-GB"/>
    </w:rPr>
  </w:style>
  <w:style w:type="paragraph" w:styleId="Heading2">
    <w:name w:val="heading 2"/>
    <w:basedOn w:val="Normal"/>
    <w:next w:val="Normal"/>
    <w:link w:val="Heading2Char"/>
    <w:uiPriority w:val="9"/>
    <w:unhideWhenUsed/>
    <w:qFormat/>
    <w:rsid w:val="00851C95"/>
    <w:pPr>
      <w:spacing w:before="240" w:after="240" w:line="240" w:lineRule="auto"/>
      <w:jc w:val="both"/>
      <w:outlineLvl w:val="1"/>
    </w:pPr>
    <w:rPr>
      <w:rFonts w:ascii="Times New Roman Bold" w:eastAsia="Times New Roman" w:hAnsi="Times New Roman Bold"/>
      <w:b/>
      <w:caps/>
      <w:sz w:val="24"/>
      <w:szCs w:val="24"/>
      <w:lang w:eastAsia="en-GB"/>
    </w:rPr>
  </w:style>
  <w:style w:type="paragraph" w:styleId="Heading3">
    <w:name w:val="heading 3"/>
    <w:basedOn w:val="Normal"/>
    <w:next w:val="Normal"/>
    <w:link w:val="Heading3Char"/>
    <w:uiPriority w:val="9"/>
    <w:unhideWhenUsed/>
    <w:qFormat/>
    <w:rsid w:val="00851C95"/>
    <w:pPr>
      <w:spacing w:before="240" w:after="240" w:line="240" w:lineRule="auto"/>
      <w:outlineLvl w:val="2"/>
    </w:pPr>
    <w:rPr>
      <w:rFonts w:ascii="Times New Roman Bold" w:eastAsia="Times New Roman" w:hAnsi="Times New Roman Bold"/>
      <w:b/>
      <w:spacing w:val="5"/>
      <w:sz w:val="24"/>
      <w:szCs w:val="24"/>
      <w:lang w:eastAsia="en-GB"/>
    </w:rPr>
  </w:style>
  <w:style w:type="paragraph" w:styleId="Heading4">
    <w:name w:val="heading 4"/>
    <w:basedOn w:val="Normal"/>
    <w:next w:val="Normal"/>
    <w:link w:val="Heading4Char"/>
    <w:uiPriority w:val="9"/>
    <w:unhideWhenUsed/>
    <w:qFormat/>
    <w:rsid w:val="00851C95"/>
    <w:pPr>
      <w:tabs>
        <w:tab w:val="left" w:pos="1134"/>
      </w:tabs>
      <w:spacing w:before="240" w:after="120" w:line="240" w:lineRule="auto"/>
      <w:ind w:left="1134" w:hanging="1134"/>
      <w:jc w:val="both"/>
      <w:outlineLvl w:val="3"/>
    </w:pPr>
    <w:rPr>
      <w:rFonts w:ascii="Times New Roman" w:eastAsia="Times New Roman" w:hAnsi="Times New Roman"/>
      <w:b/>
      <w:sz w:val="24"/>
      <w:szCs w:val="24"/>
      <w:u w:val="single"/>
      <w:lang w:eastAsia="en-GB"/>
    </w:rPr>
  </w:style>
  <w:style w:type="paragraph" w:styleId="Heading5">
    <w:name w:val="heading 5"/>
    <w:basedOn w:val="Normal"/>
    <w:next w:val="Normal"/>
    <w:link w:val="Heading5Char"/>
    <w:uiPriority w:val="9"/>
    <w:semiHidden/>
    <w:unhideWhenUsed/>
    <w:qFormat/>
    <w:rsid w:val="00851C95"/>
    <w:pPr>
      <w:spacing w:before="200" w:beforeAutospacing="1" w:after="0" w:afterAutospacing="1" w:line="240" w:lineRule="auto"/>
      <w:outlineLvl w:val="4"/>
    </w:pPr>
    <w:rPr>
      <w:rFonts w:ascii="Times New Roman" w:eastAsia="Times New Roman" w:hAnsi="Times New Roman"/>
      <w:smallCaps/>
      <w:color w:val="943634"/>
      <w:spacing w:val="10"/>
      <w:szCs w:val="26"/>
      <w:lang w:eastAsia="en-GB"/>
    </w:rPr>
  </w:style>
  <w:style w:type="paragraph" w:styleId="Heading6">
    <w:name w:val="heading 6"/>
    <w:basedOn w:val="Normal"/>
    <w:next w:val="Normal"/>
    <w:link w:val="Heading6Char"/>
    <w:uiPriority w:val="9"/>
    <w:semiHidden/>
    <w:unhideWhenUsed/>
    <w:qFormat/>
    <w:rsid w:val="00851C95"/>
    <w:pPr>
      <w:spacing w:before="100" w:beforeAutospacing="1" w:after="0" w:afterAutospacing="1" w:line="240" w:lineRule="auto"/>
      <w:outlineLvl w:val="5"/>
    </w:pPr>
    <w:rPr>
      <w:rFonts w:ascii="Times New Roman" w:eastAsia="Times New Roman" w:hAnsi="Times New Roman"/>
      <w:smallCaps/>
      <w:color w:val="C0504D"/>
      <w:spacing w:val="5"/>
      <w:szCs w:val="20"/>
      <w:lang w:eastAsia="en-GB"/>
    </w:rPr>
  </w:style>
  <w:style w:type="paragraph" w:styleId="Heading7">
    <w:name w:val="heading 7"/>
    <w:basedOn w:val="Normal"/>
    <w:next w:val="Normal"/>
    <w:link w:val="Heading7Char"/>
    <w:uiPriority w:val="9"/>
    <w:semiHidden/>
    <w:unhideWhenUsed/>
    <w:qFormat/>
    <w:rsid w:val="00851C95"/>
    <w:pPr>
      <w:spacing w:before="100" w:beforeAutospacing="1" w:after="0" w:afterAutospacing="1" w:line="240" w:lineRule="auto"/>
      <w:outlineLvl w:val="6"/>
    </w:pPr>
    <w:rPr>
      <w:rFonts w:ascii="Times New Roman" w:eastAsia="Times New Roman" w:hAnsi="Times New Roman"/>
      <w:b/>
      <w:smallCaps/>
      <w:color w:val="C0504D"/>
      <w:spacing w:val="10"/>
      <w:sz w:val="24"/>
      <w:szCs w:val="20"/>
      <w:lang w:eastAsia="en-GB"/>
    </w:rPr>
  </w:style>
  <w:style w:type="paragraph" w:styleId="Heading8">
    <w:name w:val="heading 8"/>
    <w:basedOn w:val="Normal"/>
    <w:next w:val="Normal"/>
    <w:link w:val="Heading8Char"/>
    <w:uiPriority w:val="9"/>
    <w:semiHidden/>
    <w:unhideWhenUsed/>
    <w:qFormat/>
    <w:rsid w:val="00851C95"/>
    <w:pPr>
      <w:spacing w:before="100" w:beforeAutospacing="1" w:after="0" w:afterAutospacing="1" w:line="240" w:lineRule="auto"/>
      <w:outlineLvl w:val="7"/>
    </w:pPr>
    <w:rPr>
      <w:rFonts w:ascii="Times New Roman" w:eastAsia="Times New Roman" w:hAnsi="Times New Roman"/>
      <w:b/>
      <w:i/>
      <w:smallCaps/>
      <w:color w:val="943634"/>
      <w:sz w:val="24"/>
      <w:szCs w:val="20"/>
      <w:lang w:eastAsia="en-GB"/>
    </w:rPr>
  </w:style>
  <w:style w:type="paragraph" w:styleId="Heading9">
    <w:name w:val="heading 9"/>
    <w:basedOn w:val="Normal"/>
    <w:next w:val="Normal"/>
    <w:link w:val="Heading9Char"/>
    <w:uiPriority w:val="9"/>
    <w:semiHidden/>
    <w:unhideWhenUsed/>
    <w:qFormat/>
    <w:rsid w:val="00851C95"/>
    <w:pPr>
      <w:spacing w:before="100" w:beforeAutospacing="1" w:after="0" w:afterAutospacing="1" w:line="240" w:lineRule="auto"/>
      <w:outlineLvl w:val="8"/>
    </w:pPr>
    <w:rPr>
      <w:rFonts w:ascii="Times New Roman" w:eastAsia="Times New Roman" w:hAnsi="Times New Roman"/>
      <w:b/>
      <w:i/>
      <w:smallCaps/>
      <w:color w:val="622423"/>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51C95"/>
    <w:rPr>
      <w:rFonts w:ascii="Times New Roman Bold" w:eastAsia="Times New Roman" w:hAnsi="Times New Roman Bold" w:cs="Times New Roman"/>
      <w:b/>
      <w:caps/>
      <w:sz w:val="24"/>
      <w:szCs w:val="24"/>
      <w:lang w:eastAsia="en-GB"/>
    </w:rPr>
  </w:style>
  <w:style w:type="character" w:customStyle="1" w:styleId="Heading2Char">
    <w:name w:val="Heading 2 Char"/>
    <w:link w:val="Heading2"/>
    <w:uiPriority w:val="9"/>
    <w:rsid w:val="00851C95"/>
    <w:rPr>
      <w:rFonts w:ascii="Times New Roman Bold" w:eastAsia="Times New Roman" w:hAnsi="Times New Roman Bold" w:cs="Times New Roman"/>
      <w:b/>
      <w:caps/>
      <w:sz w:val="24"/>
      <w:szCs w:val="24"/>
      <w:lang w:eastAsia="en-GB"/>
    </w:rPr>
  </w:style>
  <w:style w:type="character" w:customStyle="1" w:styleId="Heading3Char">
    <w:name w:val="Heading 3 Char"/>
    <w:link w:val="Heading3"/>
    <w:uiPriority w:val="9"/>
    <w:rsid w:val="00851C95"/>
    <w:rPr>
      <w:rFonts w:ascii="Times New Roman Bold" w:eastAsia="Times New Roman" w:hAnsi="Times New Roman Bold" w:cs="Times New Roman"/>
      <w:b/>
      <w:spacing w:val="5"/>
      <w:sz w:val="24"/>
      <w:szCs w:val="24"/>
      <w:lang w:eastAsia="en-GB"/>
    </w:rPr>
  </w:style>
  <w:style w:type="character" w:customStyle="1" w:styleId="Heading4Char">
    <w:name w:val="Heading 4 Char"/>
    <w:link w:val="Heading4"/>
    <w:uiPriority w:val="9"/>
    <w:rsid w:val="00851C95"/>
    <w:rPr>
      <w:rFonts w:ascii="Times New Roman" w:eastAsia="Times New Roman" w:hAnsi="Times New Roman" w:cs="Times New Roman"/>
      <w:b/>
      <w:sz w:val="24"/>
      <w:szCs w:val="24"/>
      <w:u w:val="single"/>
      <w:lang w:eastAsia="en-GB"/>
    </w:rPr>
  </w:style>
  <w:style w:type="character" w:customStyle="1" w:styleId="Heading5Char">
    <w:name w:val="Heading 5 Char"/>
    <w:link w:val="Heading5"/>
    <w:uiPriority w:val="9"/>
    <w:semiHidden/>
    <w:rsid w:val="00851C95"/>
    <w:rPr>
      <w:rFonts w:ascii="Times New Roman" w:eastAsia="Times New Roman" w:hAnsi="Times New Roman" w:cs="Times New Roman"/>
      <w:smallCaps/>
      <w:color w:val="943634"/>
      <w:spacing w:val="10"/>
      <w:szCs w:val="26"/>
      <w:lang w:eastAsia="en-GB"/>
    </w:rPr>
  </w:style>
  <w:style w:type="character" w:customStyle="1" w:styleId="Heading6Char">
    <w:name w:val="Heading 6 Char"/>
    <w:link w:val="Heading6"/>
    <w:uiPriority w:val="9"/>
    <w:semiHidden/>
    <w:rsid w:val="00851C95"/>
    <w:rPr>
      <w:rFonts w:ascii="Times New Roman" w:eastAsia="Times New Roman" w:hAnsi="Times New Roman" w:cs="Times New Roman"/>
      <w:smallCaps/>
      <w:color w:val="C0504D"/>
      <w:spacing w:val="5"/>
      <w:szCs w:val="20"/>
      <w:lang w:eastAsia="en-GB"/>
    </w:rPr>
  </w:style>
  <w:style w:type="character" w:customStyle="1" w:styleId="Heading7Char">
    <w:name w:val="Heading 7 Char"/>
    <w:link w:val="Heading7"/>
    <w:uiPriority w:val="9"/>
    <w:semiHidden/>
    <w:rsid w:val="00851C95"/>
    <w:rPr>
      <w:rFonts w:ascii="Times New Roman" w:eastAsia="Times New Roman" w:hAnsi="Times New Roman" w:cs="Times New Roman"/>
      <w:b/>
      <w:smallCaps/>
      <w:color w:val="C0504D"/>
      <w:spacing w:val="10"/>
      <w:sz w:val="24"/>
      <w:szCs w:val="20"/>
      <w:lang w:eastAsia="en-GB"/>
    </w:rPr>
  </w:style>
  <w:style w:type="character" w:customStyle="1" w:styleId="Heading8Char">
    <w:name w:val="Heading 8 Char"/>
    <w:link w:val="Heading8"/>
    <w:uiPriority w:val="9"/>
    <w:semiHidden/>
    <w:rsid w:val="00851C95"/>
    <w:rPr>
      <w:rFonts w:ascii="Times New Roman" w:eastAsia="Times New Roman" w:hAnsi="Times New Roman" w:cs="Times New Roman"/>
      <w:b/>
      <w:i/>
      <w:smallCaps/>
      <w:color w:val="943634"/>
      <w:sz w:val="24"/>
      <w:szCs w:val="20"/>
      <w:lang w:eastAsia="en-GB"/>
    </w:rPr>
  </w:style>
  <w:style w:type="character" w:customStyle="1" w:styleId="Heading9Char">
    <w:name w:val="Heading 9 Char"/>
    <w:link w:val="Heading9"/>
    <w:uiPriority w:val="9"/>
    <w:semiHidden/>
    <w:rsid w:val="00851C95"/>
    <w:rPr>
      <w:rFonts w:ascii="Times New Roman" w:eastAsia="Times New Roman" w:hAnsi="Times New Roman" w:cs="Times New Roman"/>
      <w:b/>
      <w:i/>
      <w:smallCaps/>
      <w:color w:val="622423"/>
      <w:sz w:val="24"/>
      <w:szCs w:val="20"/>
      <w:lang w:eastAsia="en-GB"/>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unhideWhenUsed/>
    <w:rsid w:val="00851C95"/>
    <w:rPr>
      <w:sz w:val="20"/>
      <w:szCs w:val="20"/>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851C95"/>
    <w:rPr>
      <w:rFonts w:ascii="Calibri" w:eastAsia="Calibri" w:hAnsi="Calibri" w:cs="Times New Roman"/>
      <w:sz w:val="20"/>
      <w:szCs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1"/>
    <w:uiPriority w:val="99"/>
    <w:unhideWhenUsed/>
    <w:rsid w:val="00851C95"/>
    <w:rPr>
      <w:vertAlign w:val="superscript"/>
    </w:rPr>
  </w:style>
  <w:style w:type="paragraph" w:styleId="Header">
    <w:name w:val="header"/>
    <w:basedOn w:val="Normal"/>
    <w:link w:val="HeaderChar"/>
    <w:unhideWhenUsed/>
    <w:rsid w:val="00851C95"/>
    <w:pPr>
      <w:tabs>
        <w:tab w:val="center" w:pos="4513"/>
        <w:tab w:val="right" w:pos="9026"/>
      </w:tabs>
    </w:pPr>
  </w:style>
  <w:style w:type="character" w:customStyle="1" w:styleId="HeaderChar">
    <w:name w:val="Header Char"/>
    <w:link w:val="Header"/>
    <w:rsid w:val="00851C95"/>
    <w:rPr>
      <w:rFonts w:ascii="Calibri" w:eastAsia="Calibri" w:hAnsi="Calibri" w:cs="Times New Roman"/>
    </w:rPr>
  </w:style>
  <w:style w:type="paragraph" w:styleId="Footer">
    <w:name w:val="footer"/>
    <w:basedOn w:val="Normal"/>
    <w:link w:val="FooterChar"/>
    <w:uiPriority w:val="99"/>
    <w:unhideWhenUsed/>
    <w:rsid w:val="00851C95"/>
    <w:pPr>
      <w:tabs>
        <w:tab w:val="center" w:pos="4513"/>
        <w:tab w:val="right" w:pos="9026"/>
      </w:tabs>
    </w:pPr>
  </w:style>
  <w:style w:type="character" w:customStyle="1" w:styleId="FooterChar">
    <w:name w:val="Footer Char"/>
    <w:link w:val="Footer"/>
    <w:uiPriority w:val="99"/>
    <w:rsid w:val="00851C95"/>
    <w:rPr>
      <w:rFonts w:ascii="Calibri" w:eastAsia="Calibri" w:hAnsi="Calibri" w:cs="Times New Roman"/>
    </w:rPr>
  </w:style>
  <w:style w:type="character" w:styleId="CommentReference">
    <w:name w:val="annotation reference"/>
    <w:uiPriority w:val="99"/>
    <w:unhideWhenUsed/>
    <w:rsid w:val="00851C95"/>
    <w:rPr>
      <w:sz w:val="16"/>
      <w:szCs w:val="16"/>
    </w:rPr>
  </w:style>
  <w:style w:type="paragraph" w:styleId="CommentText">
    <w:name w:val="annotation text"/>
    <w:basedOn w:val="Normal"/>
    <w:link w:val="CommentTextChar"/>
    <w:uiPriority w:val="99"/>
    <w:unhideWhenUsed/>
    <w:rsid w:val="00851C95"/>
    <w:rPr>
      <w:sz w:val="20"/>
      <w:szCs w:val="20"/>
    </w:rPr>
  </w:style>
  <w:style w:type="character" w:customStyle="1" w:styleId="CommentTextChar">
    <w:name w:val="Comment Text Char"/>
    <w:link w:val="CommentText"/>
    <w:uiPriority w:val="99"/>
    <w:rsid w:val="00851C95"/>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851C9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51C95"/>
    <w:rPr>
      <w:rFonts w:ascii="Tahoma" w:eastAsia="Calibri" w:hAnsi="Tahoma" w:cs="Tahoma"/>
      <w:sz w:val="16"/>
      <w:szCs w:val="16"/>
    </w:rPr>
  </w:style>
  <w:style w:type="paragraph" w:styleId="CommentSubject">
    <w:name w:val="annotation subject"/>
    <w:basedOn w:val="CommentText"/>
    <w:next w:val="CommentText"/>
    <w:link w:val="CommentSubjectChar"/>
    <w:uiPriority w:val="99"/>
    <w:semiHidden/>
    <w:unhideWhenUsed/>
    <w:rsid w:val="00851C95"/>
    <w:rPr>
      <w:b/>
      <w:bCs/>
    </w:rPr>
  </w:style>
  <w:style w:type="character" w:customStyle="1" w:styleId="CommentSubjectChar">
    <w:name w:val="Comment Subject Char"/>
    <w:link w:val="CommentSubject"/>
    <w:uiPriority w:val="99"/>
    <w:semiHidden/>
    <w:rsid w:val="00851C95"/>
    <w:rPr>
      <w:rFonts w:ascii="Calibri" w:eastAsia="Calibri" w:hAnsi="Calibri" w:cs="Times New Roman"/>
      <w:b/>
      <w:bCs/>
      <w:sz w:val="20"/>
      <w:szCs w:val="20"/>
    </w:rPr>
  </w:style>
  <w:style w:type="paragraph" w:styleId="ListParagraph">
    <w:name w:val="List Paragraph"/>
    <w:basedOn w:val="Normal"/>
    <w:uiPriority w:val="34"/>
    <w:qFormat/>
    <w:rsid w:val="00851C95"/>
    <w:pPr>
      <w:ind w:left="720"/>
      <w:contextualSpacing/>
    </w:pPr>
    <w:rPr>
      <w:lang w:val="fr-FR"/>
    </w:rPr>
  </w:style>
  <w:style w:type="numbering" w:customStyle="1" w:styleId="NoList1">
    <w:name w:val="No List1"/>
    <w:next w:val="NoList"/>
    <w:uiPriority w:val="99"/>
    <w:semiHidden/>
    <w:unhideWhenUsed/>
    <w:rsid w:val="00851C95"/>
  </w:style>
  <w:style w:type="paragraph" w:customStyle="1" w:styleId="ListDash">
    <w:name w:val="List Dash"/>
    <w:basedOn w:val="Normal"/>
    <w:rsid w:val="00851C95"/>
    <w:pPr>
      <w:tabs>
        <w:tab w:val="num" w:pos="360"/>
      </w:tabs>
      <w:spacing w:after="240" w:line="240" w:lineRule="auto"/>
      <w:jc w:val="both"/>
    </w:pPr>
    <w:rPr>
      <w:rFonts w:ascii="Times New Roman" w:eastAsia="Times New Roman" w:hAnsi="Times New Roman"/>
      <w:sz w:val="24"/>
      <w:szCs w:val="20"/>
    </w:rPr>
  </w:style>
  <w:style w:type="paragraph" w:customStyle="1" w:styleId="Char1CharCharChar">
    <w:name w:val="Char1 Char Char Char"/>
    <w:basedOn w:val="Normal"/>
    <w:rsid w:val="00851C95"/>
    <w:pPr>
      <w:spacing w:after="160" w:line="240" w:lineRule="exact"/>
    </w:pPr>
    <w:rPr>
      <w:rFonts w:ascii="Tahoma" w:eastAsia="Times New Roman" w:hAnsi="Tahoma"/>
      <w:sz w:val="20"/>
      <w:szCs w:val="20"/>
      <w:lang w:val="en-US"/>
    </w:rPr>
  </w:style>
  <w:style w:type="paragraph" w:customStyle="1" w:styleId="CM1">
    <w:name w:val="CM1"/>
    <w:basedOn w:val="Normal"/>
    <w:next w:val="Normal"/>
    <w:uiPriority w:val="99"/>
    <w:rsid w:val="00851C95"/>
    <w:pPr>
      <w:autoSpaceDE w:val="0"/>
      <w:autoSpaceDN w:val="0"/>
      <w:adjustRightInd w:val="0"/>
      <w:spacing w:after="0" w:line="240" w:lineRule="auto"/>
    </w:pPr>
    <w:rPr>
      <w:rFonts w:ascii="EUAlbertina" w:hAnsi="EUAlbertina"/>
      <w:sz w:val="24"/>
      <w:szCs w:val="24"/>
    </w:rPr>
  </w:style>
  <w:style w:type="paragraph" w:customStyle="1" w:styleId="CM3">
    <w:name w:val="CM3"/>
    <w:basedOn w:val="Normal"/>
    <w:next w:val="Normal"/>
    <w:uiPriority w:val="99"/>
    <w:rsid w:val="00851C95"/>
    <w:pPr>
      <w:autoSpaceDE w:val="0"/>
      <w:autoSpaceDN w:val="0"/>
      <w:adjustRightInd w:val="0"/>
      <w:spacing w:after="0" w:line="240" w:lineRule="auto"/>
    </w:pPr>
    <w:rPr>
      <w:rFonts w:ascii="EUAlbertina" w:hAnsi="EUAlbertina"/>
      <w:sz w:val="24"/>
      <w:szCs w:val="24"/>
    </w:rPr>
  </w:style>
  <w:style w:type="paragraph" w:customStyle="1" w:styleId="Revision1">
    <w:name w:val="Revision1"/>
    <w:next w:val="Revision"/>
    <w:hidden/>
    <w:uiPriority w:val="99"/>
    <w:semiHidden/>
    <w:rsid w:val="00851C95"/>
    <w:rPr>
      <w:sz w:val="22"/>
      <w:szCs w:val="22"/>
      <w:lang w:val="fr-FR" w:eastAsia="en-US"/>
    </w:rPr>
  </w:style>
  <w:style w:type="paragraph" w:styleId="Revision">
    <w:name w:val="Revision"/>
    <w:hidden/>
    <w:uiPriority w:val="99"/>
    <w:semiHidden/>
    <w:rsid w:val="00851C95"/>
    <w:rPr>
      <w:sz w:val="22"/>
      <w:szCs w:val="22"/>
      <w:lang w:eastAsia="en-US"/>
    </w:rPr>
  </w:style>
  <w:style w:type="paragraph" w:customStyle="1" w:styleId="Char1CharCharChar0">
    <w:name w:val="Char1 Char Char Char"/>
    <w:basedOn w:val="Normal"/>
    <w:rsid w:val="00851C95"/>
    <w:pPr>
      <w:spacing w:after="160" w:line="240" w:lineRule="exact"/>
    </w:pPr>
    <w:rPr>
      <w:rFonts w:ascii="Tahoma" w:eastAsia="Times New Roman" w:hAnsi="Tahoma"/>
      <w:sz w:val="20"/>
      <w:szCs w:val="20"/>
      <w:lang w:val="en-US"/>
    </w:rPr>
  </w:style>
  <w:style w:type="paragraph" w:customStyle="1" w:styleId="ZCom">
    <w:name w:val="Z_Com"/>
    <w:basedOn w:val="Normal"/>
    <w:next w:val="ZDGName"/>
    <w:rsid w:val="00851C95"/>
    <w:pPr>
      <w:widowControl w:val="0"/>
      <w:spacing w:after="0" w:line="240" w:lineRule="auto"/>
      <w:ind w:right="85"/>
      <w:jc w:val="both"/>
    </w:pPr>
    <w:rPr>
      <w:rFonts w:ascii="Arial" w:eastAsia="Times New Roman" w:hAnsi="Arial"/>
      <w:snapToGrid w:val="0"/>
      <w:sz w:val="24"/>
      <w:szCs w:val="20"/>
    </w:rPr>
  </w:style>
  <w:style w:type="paragraph" w:customStyle="1" w:styleId="ZDGName">
    <w:name w:val="Z_DGName"/>
    <w:basedOn w:val="Normal"/>
    <w:rsid w:val="00851C95"/>
    <w:pPr>
      <w:widowControl w:val="0"/>
      <w:spacing w:after="0" w:line="240" w:lineRule="auto"/>
      <w:ind w:right="85"/>
      <w:jc w:val="both"/>
    </w:pPr>
    <w:rPr>
      <w:rFonts w:ascii="Arial" w:eastAsia="Times New Roman" w:hAnsi="Arial"/>
      <w:snapToGrid w:val="0"/>
      <w:sz w:val="16"/>
      <w:szCs w:val="20"/>
    </w:rPr>
  </w:style>
  <w:style w:type="character" w:styleId="Emphasis">
    <w:name w:val="Emphasis"/>
    <w:uiPriority w:val="20"/>
    <w:qFormat/>
    <w:rsid w:val="00851C95"/>
    <w:rPr>
      <w:i/>
      <w:iCs/>
    </w:rPr>
  </w:style>
  <w:style w:type="paragraph" w:customStyle="1" w:styleId="Heading3contract">
    <w:name w:val="Heading 3 contract"/>
    <w:basedOn w:val="Normal"/>
    <w:link w:val="Heading3contractChar"/>
    <w:autoRedefine/>
    <w:qFormat/>
    <w:rsid w:val="00851C95"/>
    <w:pPr>
      <w:keepNext/>
      <w:spacing w:before="120" w:after="0" w:line="240" w:lineRule="auto"/>
      <w:ind w:left="709" w:hanging="709"/>
      <w:jc w:val="both"/>
    </w:pPr>
    <w:rPr>
      <w:rFonts w:ascii="Times New Roman" w:eastAsia="Times New Roman" w:hAnsi="Times New Roman"/>
      <w:b/>
      <w:sz w:val="24"/>
      <w:szCs w:val="24"/>
      <w:lang w:eastAsia="ko-KR"/>
    </w:rPr>
  </w:style>
  <w:style w:type="character" w:customStyle="1" w:styleId="Heading3contractChar">
    <w:name w:val="Heading 3 contract Char"/>
    <w:link w:val="Heading3contract"/>
    <w:rsid w:val="00851C95"/>
    <w:rPr>
      <w:rFonts w:ascii="Times New Roman" w:eastAsia="Times New Roman" w:hAnsi="Times New Roman" w:cs="Times New Roman"/>
      <w:b/>
      <w:sz w:val="24"/>
      <w:szCs w:val="24"/>
      <w:lang w:eastAsia="ko-KR"/>
    </w:rPr>
  </w:style>
  <w:style w:type="character" w:styleId="Hyperlink">
    <w:name w:val="Hyperlink"/>
    <w:uiPriority w:val="99"/>
    <w:unhideWhenUsed/>
    <w:rsid w:val="00851C95"/>
    <w:rPr>
      <w:color w:val="0000FF"/>
      <w:u w:val="single"/>
    </w:rPr>
  </w:style>
  <w:style w:type="character" w:styleId="FollowedHyperlink">
    <w:name w:val="FollowedHyperlink"/>
    <w:uiPriority w:val="99"/>
    <w:semiHidden/>
    <w:unhideWhenUsed/>
    <w:rsid w:val="00851C95"/>
    <w:rPr>
      <w:color w:val="800080"/>
      <w:u w:val="single"/>
    </w:rPr>
  </w:style>
  <w:style w:type="paragraph" w:styleId="Title">
    <w:name w:val="Title"/>
    <w:basedOn w:val="Normal"/>
    <w:link w:val="TitleChar"/>
    <w:uiPriority w:val="10"/>
    <w:qFormat/>
    <w:rsid w:val="00851C95"/>
    <w:pPr>
      <w:tabs>
        <w:tab w:val="left" w:pos="-1440"/>
        <w:tab w:val="left" w:pos="-720"/>
        <w:tab w:val="left" w:pos="828"/>
        <w:tab w:val="left" w:pos="1044"/>
        <w:tab w:val="left" w:pos="1260"/>
        <w:tab w:val="left" w:pos="1476"/>
        <w:tab w:val="left" w:pos="1692"/>
        <w:tab w:val="left" w:pos="2160"/>
      </w:tabs>
      <w:spacing w:after="0" w:line="240" w:lineRule="auto"/>
      <w:jc w:val="center"/>
    </w:pPr>
    <w:rPr>
      <w:rFonts w:ascii="Times New Roman" w:eastAsia="Times New Roman" w:hAnsi="Times New Roman"/>
      <w:b/>
      <w:bCs/>
      <w:snapToGrid w:val="0"/>
      <w:lang w:val="fr-FR" w:eastAsia="en-GB"/>
    </w:rPr>
  </w:style>
  <w:style w:type="character" w:customStyle="1" w:styleId="TitleChar">
    <w:name w:val="Title Char"/>
    <w:link w:val="Title"/>
    <w:uiPriority w:val="10"/>
    <w:rsid w:val="00851C95"/>
    <w:rPr>
      <w:rFonts w:ascii="Times New Roman" w:eastAsia="Times New Roman" w:hAnsi="Times New Roman" w:cs="Times New Roman"/>
      <w:b/>
      <w:bCs/>
      <w:snapToGrid w:val="0"/>
      <w:lang w:val="fr-FR" w:eastAsia="en-GB"/>
    </w:rPr>
  </w:style>
  <w:style w:type="paragraph" w:customStyle="1" w:styleId="CharCharChar">
    <w:name w:val="Char Char Char"/>
    <w:basedOn w:val="Normal"/>
    <w:rsid w:val="00851C95"/>
    <w:pPr>
      <w:spacing w:after="160" w:line="240" w:lineRule="exact"/>
    </w:pPr>
    <w:rPr>
      <w:rFonts w:ascii="Tahoma" w:eastAsia="Times New Roman" w:hAnsi="Tahoma"/>
      <w:sz w:val="20"/>
      <w:szCs w:val="20"/>
      <w:lang w:val="en-US"/>
    </w:rPr>
  </w:style>
  <w:style w:type="paragraph" w:customStyle="1" w:styleId="Char1CharCharCharCharCharChar">
    <w:name w:val="Char1 Char Char Char Char Char Char"/>
    <w:basedOn w:val="Normal"/>
    <w:rsid w:val="00851C95"/>
    <w:pPr>
      <w:spacing w:after="160" w:line="240" w:lineRule="exact"/>
    </w:pPr>
    <w:rPr>
      <w:rFonts w:ascii="Tahoma" w:eastAsia="Times New Roman" w:hAnsi="Tahoma"/>
      <w:sz w:val="20"/>
      <w:szCs w:val="20"/>
      <w:lang w:val="en-US"/>
    </w:rPr>
  </w:style>
  <w:style w:type="paragraph" w:customStyle="1" w:styleId="Default">
    <w:name w:val="Default"/>
    <w:rsid w:val="00851C95"/>
    <w:pPr>
      <w:autoSpaceDE w:val="0"/>
      <w:autoSpaceDN w:val="0"/>
      <w:adjustRightInd w:val="0"/>
      <w:spacing w:after="200" w:line="276" w:lineRule="auto"/>
      <w:jc w:val="both"/>
    </w:pPr>
    <w:rPr>
      <w:rFonts w:ascii="Times New Roman" w:eastAsia="Times New Roman" w:hAnsi="Times New Roman"/>
      <w:color w:val="000000"/>
      <w:sz w:val="24"/>
      <w:szCs w:val="24"/>
    </w:rPr>
  </w:style>
  <w:style w:type="paragraph" w:customStyle="1" w:styleId="Subarticle">
    <w:name w:val="Subarticle"/>
    <w:basedOn w:val="Normal"/>
    <w:link w:val="SubarticleChar"/>
    <w:rsid w:val="00851C95"/>
    <w:pPr>
      <w:spacing w:before="100" w:beforeAutospacing="1" w:after="0" w:afterAutospacing="1" w:line="240" w:lineRule="auto"/>
      <w:ind w:left="720" w:hanging="720"/>
      <w:jc w:val="both"/>
    </w:pPr>
    <w:rPr>
      <w:rFonts w:ascii="Times New Roman" w:eastAsia="Times New Roman" w:hAnsi="Times New Roman"/>
      <w:b/>
      <w:sz w:val="24"/>
      <w:szCs w:val="24"/>
      <w:lang w:eastAsia="en-GB"/>
    </w:rPr>
  </w:style>
  <w:style w:type="character" w:customStyle="1" w:styleId="SubarticleChar">
    <w:name w:val="Subarticle Char"/>
    <w:link w:val="Subarticle"/>
    <w:rsid w:val="00851C95"/>
    <w:rPr>
      <w:rFonts w:ascii="Times New Roman" w:eastAsia="Times New Roman" w:hAnsi="Times New Roman" w:cs="Times New Roman"/>
      <w:b/>
      <w:sz w:val="24"/>
      <w:szCs w:val="24"/>
      <w:lang w:eastAsia="en-GB"/>
    </w:rPr>
  </w:style>
  <w:style w:type="paragraph" w:customStyle="1" w:styleId="Article">
    <w:name w:val="Article"/>
    <w:basedOn w:val="Normal"/>
    <w:link w:val="ArticleChar"/>
    <w:rsid w:val="00851C95"/>
    <w:pPr>
      <w:spacing w:before="100" w:beforeAutospacing="1" w:after="0" w:afterAutospacing="1" w:line="240" w:lineRule="auto"/>
      <w:ind w:left="1871" w:hanging="1871"/>
      <w:jc w:val="both"/>
    </w:pPr>
    <w:rPr>
      <w:rFonts w:ascii="Times New Roman" w:eastAsia="Times New Roman" w:hAnsi="Times New Roman"/>
      <w:b/>
      <w:sz w:val="24"/>
      <w:szCs w:val="24"/>
      <w:lang w:eastAsia="en-GB"/>
    </w:rPr>
  </w:style>
  <w:style w:type="character" w:customStyle="1" w:styleId="ArticleChar">
    <w:name w:val="Article Char"/>
    <w:link w:val="Article"/>
    <w:rsid w:val="00851C95"/>
    <w:rPr>
      <w:rFonts w:ascii="Times New Roman" w:eastAsia="Times New Roman" w:hAnsi="Times New Roman" w:cs="Times New Roman"/>
      <w:b/>
      <w:sz w:val="24"/>
      <w:szCs w:val="24"/>
      <w:lang w:eastAsia="en-GB"/>
    </w:rPr>
  </w:style>
  <w:style w:type="paragraph" w:customStyle="1" w:styleId="Contact">
    <w:name w:val="Contact"/>
    <w:basedOn w:val="Normal"/>
    <w:next w:val="Normal"/>
    <w:rsid w:val="00851C95"/>
    <w:pPr>
      <w:spacing w:before="480" w:beforeAutospacing="1" w:after="0" w:afterAutospacing="1" w:line="240" w:lineRule="auto"/>
      <w:ind w:left="567" w:hanging="567"/>
    </w:pPr>
    <w:rPr>
      <w:rFonts w:ascii="Times New Roman" w:eastAsia="Times New Roman" w:hAnsi="Times New Roman"/>
      <w:sz w:val="24"/>
      <w:szCs w:val="20"/>
    </w:rPr>
  </w:style>
  <w:style w:type="paragraph" w:styleId="ListBullet">
    <w:name w:val="List Bullet"/>
    <w:basedOn w:val="Normal"/>
    <w:rsid w:val="00851C95"/>
    <w:pPr>
      <w:numPr>
        <w:numId w:val="2"/>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Bullet1">
    <w:name w:val="List Bullet 1"/>
    <w:basedOn w:val="Normal"/>
    <w:rsid w:val="00851C95"/>
    <w:pPr>
      <w:numPr>
        <w:numId w:val="3"/>
      </w:numPr>
      <w:spacing w:before="100" w:beforeAutospacing="1" w:after="100" w:afterAutospacing="1" w:line="240" w:lineRule="auto"/>
      <w:jc w:val="both"/>
    </w:pPr>
    <w:rPr>
      <w:rFonts w:ascii="Times New Roman" w:eastAsia="Times New Roman" w:hAnsi="Times New Roman"/>
      <w:b/>
      <w:sz w:val="24"/>
      <w:szCs w:val="20"/>
    </w:rPr>
  </w:style>
  <w:style w:type="paragraph" w:styleId="ListBullet2">
    <w:name w:val="List Bullet 2"/>
    <w:basedOn w:val="Normal"/>
    <w:rsid w:val="00851C95"/>
    <w:pPr>
      <w:numPr>
        <w:numId w:val="4"/>
      </w:numPr>
      <w:spacing w:before="100" w:beforeAutospacing="1" w:after="100" w:afterAutospacing="1" w:line="240" w:lineRule="auto"/>
      <w:jc w:val="both"/>
    </w:pPr>
    <w:rPr>
      <w:rFonts w:ascii="Times New Roman" w:eastAsia="Times New Roman" w:hAnsi="Times New Roman"/>
      <w:sz w:val="24"/>
      <w:szCs w:val="20"/>
    </w:rPr>
  </w:style>
  <w:style w:type="paragraph" w:styleId="ListBullet3">
    <w:name w:val="List Bullet 3"/>
    <w:basedOn w:val="Normal"/>
    <w:rsid w:val="00851C95"/>
    <w:pPr>
      <w:numPr>
        <w:numId w:val="5"/>
      </w:numPr>
      <w:spacing w:before="100" w:beforeAutospacing="1" w:after="100" w:afterAutospacing="1" w:line="240" w:lineRule="auto"/>
      <w:jc w:val="both"/>
    </w:pPr>
    <w:rPr>
      <w:rFonts w:ascii="Times New Roman" w:eastAsia="Times New Roman" w:hAnsi="Times New Roman"/>
      <w:sz w:val="24"/>
      <w:szCs w:val="20"/>
    </w:rPr>
  </w:style>
  <w:style w:type="paragraph" w:styleId="ListBullet4">
    <w:name w:val="List Bullet 4"/>
    <w:basedOn w:val="Normal"/>
    <w:rsid w:val="00851C95"/>
    <w:pPr>
      <w:numPr>
        <w:numId w:val="6"/>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Dash1">
    <w:name w:val="List Dash 1"/>
    <w:basedOn w:val="Normal"/>
    <w:rsid w:val="00851C95"/>
    <w:pPr>
      <w:numPr>
        <w:numId w:val="7"/>
      </w:numPr>
      <w:spacing w:before="100" w:beforeAutospacing="1" w:after="100" w:afterAutospacing="1" w:line="240" w:lineRule="auto"/>
      <w:jc w:val="both"/>
    </w:pPr>
    <w:rPr>
      <w:rFonts w:ascii="Times New Roman" w:eastAsia="Times New Roman" w:hAnsi="Times New Roman"/>
      <w:b/>
      <w:sz w:val="24"/>
      <w:szCs w:val="20"/>
    </w:rPr>
  </w:style>
  <w:style w:type="paragraph" w:customStyle="1" w:styleId="ListDash2">
    <w:name w:val="List Dash 2"/>
    <w:basedOn w:val="Normal"/>
    <w:rsid w:val="00851C95"/>
    <w:pPr>
      <w:numPr>
        <w:numId w:val="8"/>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Dash3">
    <w:name w:val="List Dash 3"/>
    <w:basedOn w:val="Normal"/>
    <w:link w:val="ListDash3Char"/>
    <w:rsid w:val="00851C95"/>
    <w:pPr>
      <w:numPr>
        <w:numId w:val="9"/>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Dash4">
    <w:name w:val="List Dash 4"/>
    <w:basedOn w:val="Normal"/>
    <w:rsid w:val="00851C95"/>
    <w:pPr>
      <w:numPr>
        <w:numId w:val="10"/>
      </w:numPr>
      <w:spacing w:before="100" w:beforeAutospacing="1" w:after="100" w:afterAutospacing="1" w:line="240" w:lineRule="auto"/>
      <w:jc w:val="both"/>
    </w:pPr>
    <w:rPr>
      <w:rFonts w:ascii="Times New Roman" w:eastAsia="Times New Roman" w:hAnsi="Times New Roman"/>
      <w:sz w:val="24"/>
      <w:szCs w:val="20"/>
    </w:rPr>
  </w:style>
  <w:style w:type="paragraph" w:styleId="ListNumber">
    <w:name w:val="List Number"/>
    <w:basedOn w:val="Normal"/>
    <w:rsid w:val="00851C95"/>
    <w:pPr>
      <w:numPr>
        <w:numId w:val="11"/>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1">
    <w:name w:val="List Number 1"/>
    <w:basedOn w:val="Normal"/>
    <w:rsid w:val="00851C95"/>
    <w:pPr>
      <w:numPr>
        <w:numId w:val="12"/>
      </w:numPr>
      <w:spacing w:before="100" w:beforeAutospacing="1" w:after="100" w:afterAutospacing="1" w:line="240" w:lineRule="auto"/>
      <w:jc w:val="both"/>
    </w:pPr>
    <w:rPr>
      <w:rFonts w:ascii="Times New Roman" w:eastAsia="Times New Roman" w:hAnsi="Times New Roman"/>
      <w:b/>
      <w:sz w:val="24"/>
      <w:szCs w:val="20"/>
    </w:rPr>
  </w:style>
  <w:style w:type="paragraph" w:styleId="ListNumber2">
    <w:name w:val="List Number 2"/>
    <w:basedOn w:val="Normal"/>
    <w:rsid w:val="00851C95"/>
    <w:pPr>
      <w:numPr>
        <w:numId w:val="13"/>
      </w:numPr>
      <w:spacing w:before="100" w:beforeAutospacing="1" w:after="100" w:afterAutospacing="1" w:line="240" w:lineRule="auto"/>
      <w:jc w:val="both"/>
    </w:pPr>
    <w:rPr>
      <w:rFonts w:ascii="Times New Roman" w:eastAsia="Times New Roman" w:hAnsi="Times New Roman"/>
      <w:sz w:val="24"/>
      <w:szCs w:val="20"/>
    </w:rPr>
  </w:style>
  <w:style w:type="paragraph" w:styleId="ListNumber3">
    <w:name w:val="List Number 3"/>
    <w:basedOn w:val="Normal"/>
    <w:rsid w:val="00851C95"/>
    <w:pPr>
      <w:numPr>
        <w:numId w:val="14"/>
      </w:numPr>
      <w:spacing w:before="100" w:beforeAutospacing="1" w:after="100" w:afterAutospacing="1" w:line="240" w:lineRule="auto"/>
      <w:jc w:val="both"/>
    </w:pPr>
    <w:rPr>
      <w:rFonts w:ascii="Times New Roman" w:eastAsia="Times New Roman" w:hAnsi="Times New Roman"/>
      <w:sz w:val="24"/>
      <w:szCs w:val="20"/>
    </w:rPr>
  </w:style>
  <w:style w:type="paragraph" w:styleId="ListNumber4">
    <w:name w:val="List Number 4"/>
    <w:basedOn w:val="Normal"/>
    <w:rsid w:val="00851C95"/>
    <w:pPr>
      <w:numPr>
        <w:numId w:val="15"/>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Level2">
    <w:name w:val="List Number (Level 2)"/>
    <w:basedOn w:val="Normal"/>
    <w:rsid w:val="00851C95"/>
    <w:pPr>
      <w:numPr>
        <w:ilvl w:val="1"/>
        <w:numId w:val="11"/>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1Level2">
    <w:name w:val="List Number 1 (Level 2)"/>
    <w:basedOn w:val="Normal"/>
    <w:rsid w:val="00851C95"/>
    <w:pPr>
      <w:numPr>
        <w:ilvl w:val="1"/>
        <w:numId w:val="12"/>
      </w:numPr>
      <w:spacing w:before="100" w:beforeAutospacing="1" w:after="100" w:afterAutospacing="1" w:line="240" w:lineRule="auto"/>
      <w:jc w:val="both"/>
    </w:pPr>
    <w:rPr>
      <w:rFonts w:ascii="Times New Roman" w:eastAsia="Times New Roman" w:hAnsi="Times New Roman"/>
      <w:b/>
      <w:sz w:val="24"/>
      <w:szCs w:val="20"/>
    </w:rPr>
  </w:style>
  <w:style w:type="paragraph" w:customStyle="1" w:styleId="ListNumber2Level2">
    <w:name w:val="List Number 2 (Level 2)"/>
    <w:basedOn w:val="Normal"/>
    <w:rsid w:val="00851C95"/>
    <w:pPr>
      <w:numPr>
        <w:ilvl w:val="1"/>
        <w:numId w:val="13"/>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3Level2">
    <w:name w:val="List Number 3 (Level 2)"/>
    <w:basedOn w:val="Normal"/>
    <w:rsid w:val="00851C95"/>
    <w:pPr>
      <w:numPr>
        <w:ilvl w:val="1"/>
        <w:numId w:val="14"/>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4Level2">
    <w:name w:val="List Number 4 (Level 2)"/>
    <w:basedOn w:val="Normal"/>
    <w:rsid w:val="00851C95"/>
    <w:pPr>
      <w:numPr>
        <w:ilvl w:val="1"/>
        <w:numId w:val="15"/>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Level3">
    <w:name w:val="List Number (Level 3)"/>
    <w:basedOn w:val="Normal"/>
    <w:rsid w:val="00851C95"/>
    <w:pPr>
      <w:numPr>
        <w:ilvl w:val="2"/>
        <w:numId w:val="11"/>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1Level3">
    <w:name w:val="List Number 1 (Level 3)"/>
    <w:basedOn w:val="Normal"/>
    <w:rsid w:val="00851C95"/>
    <w:pPr>
      <w:numPr>
        <w:ilvl w:val="2"/>
        <w:numId w:val="12"/>
      </w:numPr>
      <w:spacing w:before="100" w:beforeAutospacing="1" w:after="100" w:afterAutospacing="1" w:line="240" w:lineRule="auto"/>
      <w:jc w:val="both"/>
    </w:pPr>
    <w:rPr>
      <w:rFonts w:ascii="Times New Roman" w:eastAsia="Times New Roman" w:hAnsi="Times New Roman"/>
      <w:b/>
      <w:sz w:val="24"/>
      <w:szCs w:val="20"/>
    </w:rPr>
  </w:style>
  <w:style w:type="paragraph" w:customStyle="1" w:styleId="ListNumber2Level3">
    <w:name w:val="List Number 2 (Level 3)"/>
    <w:basedOn w:val="Normal"/>
    <w:rsid w:val="00851C95"/>
    <w:pPr>
      <w:numPr>
        <w:ilvl w:val="2"/>
        <w:numId w:val="13"/>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3Level3">
    <w:name w:val="List Number 3 (Level 3)"/>
    <w:basedOn w:val="Normal"/>
    <w:rsid w:val="00851C95"/>
    <w:pPr>
      <w:numPr>
        <w:ilvl w:val="2"/>
        <w:numId w:val="14"/>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4Level3">
    <w:name w:val="List Number 4 (Level 3)"/>
    <w:basedOn w:val="Normal"/>
    <w:rsid w:val="00851C95"/>
    <w:pPr>
      <w:numPr>
        <w:ilvl w:val="2"/>
        <w:numId w:val="15"/>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Level4">
    <w:name w:val="List Number (Level 4)"/>
    <w:basedOn w:val="Normal"/>
    <w:rsid w:val="00851C95"/>
    <w:pPr>
      <w:numPr>
        <w:ilvl w:val="3"/>
        <w:numId w:val="11"/>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1Level4">
    <w:name w:val="List Number 1 (Level 4)"/>
    <w:basedOn w:val="Normal"/>
    <w:rsid w:val="00851C95"/>
    <w:pPr>
      <w:numPr>
        <w:ilvl w:val="3"/>
        <w:numId w:val="12"/>
      </w:numPr>
      <w:spacing w:before="100" w:beforeAutospacing="1" w:after="100" w:afterAutospacing="1" w:line="240" w:lineRule="auto"/>
      <w:jc w:val="both"/>
    </w:pPr>
    <w:rPr>
      <w:rFonts w:ascii="Times New Roman" w:eastAsia="Times New Roman" w:hAnsi="Times New Roman"/>
      <w:b/>
      <w:sz w:val="24"/>
      <w:szCs w:val="20"/>
    </w:rPr>
  </w:style>
  <w:style w:type="paragraph" w:customStyle="1" w:styleId="ListNumber2Level4">
    <w:name w:val="List Number 2 (Level 4)"/>
    <w:basedOn w:val="Normal"/>
    <w:rsid w:val="00851C95"/>
    <w:pPr>
      <w:numPr>
        <w:ilvl w:val="3"/>
        <w:numId w:val="13"/>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3Level4">
    <w:name w:val="List Number 3 (Level 4)"/>
    <w:basedOn w:val="Normal"/>
    <w:rsid w:val="00851C95"/>
    <w:pPr>
      <w:numPr>
        <w:ilvl w:val="3"/>
        <w:numId w:val="14"/>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4Level4">
    <w:name w:val="List Number 4 (Level 4)"/>
    <w:basedOn w:val="Normal"/>
    <w:rsid w:val="00851C95"/>
    <w:pPr>
      <w:numPr>
        <w:ilvl w:val="3"/>
        <w:numId w:val="15"/>
      </w:numPr>
      <w:spacing w:before="100" w:beforeAutospacing="1" w:after="100" w:afterAutospacing="1" w:line="240" w:lineRule="auto"/>
      <w:jc w:val="both"/>
    </w:pPr>
    <w:rPr>
      <w:rFonts w:ascii="Times New Roman" w:eastAsia="Times New Roman" w:hAnsi="Times New Roman"/>
      <w:sz w:val="24"/>
      <w:szCs w:val="20"/>
    </w:rPr>
  </w:style>
  <w:style w:type="paragraph" w:styleId="TOC5">
    <w:name w:val="toc 5"/>
    <w:basedOn w:val="Normal"/>
    <w:next w:val="Normal"/>
    <w:uiPriority w:val="39"/>
    <w:rsid w:val="00851C95"/>
    <w:pPr>
      <w:tabs>
        <w:tab w:val="right" w:leader="dot" w:pos="8641"/>
      </w:tabs>
      <w:spacing w:before="240" w:beforeAutospacing="1" w:after="120" w:afterAutospacing="1" w:line="240" w:lineRule="auto"/>
      <w:ind w:right="720"/>
      <w:jc w:val="both"/>
    </w:pPr>
    <w:rPr>
      <w:rFonts w:ascii="Times New Roman" w:eastAsia="Times New Roman" w:hAnsi="Times New Roman"/>
      <w:caps/>
      <w:sz w:val="24"/>
      <w:szCs w:val="20"/>
    </w:rPr>
  </w:style>
  <w:style w:type="paragraph" w:styleId="TOCHeading">
    <w:name w:val="TOC Heading"/>
    <w:basedOn w:val="Normal"/>
    <w:next w:val="Normal"/>
    <w:uiPriority w:val="39"/>
    <w:qFormat/>
    <w:rsid w:val="00851C95"/>
    <w:pPr>
      <w:keepNext/>
      <w:spacing w:before="240" w:beforeAutospacing="1" w:after="100" w:afterAutospacing="1" w:line="240" w:lineRule="auto"/>
      <w:jc w:val="center"/>
    </w:pPr>
    <w:rPr>
      <w:rFonts w:ascii="Times New Roman" w:eastAsia="Times New Roman" w:hAnsi="Times New Roman"/>
      <w:b/>
      <w:sz w:val="24"/>
      <w:szCs w:val="20"/>
    </w:rPr>
  </w:style>
  <w:style w:type="paragraph" w:styleId="TOC1">
    <w:name w:val="toc 1"/>
    <w:basedOn w:val="Normal"/>
    <w:next w:val="Normal"/>
    <w:uiPriority w:val="39"/>
    <w:rsid w:val="00851C95"/>
    <w:pPr>
      <w:tabs>
        <w:tab w:val="right" w:leader="dot" w:pos="8640"/>
      </w:tabs>
      <w:spacing w:before="120" w:beforeAutospacing="1" w:after="120" w:afterAutospacing="1" w:line="240" w:lineRule="auto"/>
      <w:ind w:left="482" w:right="720" w:hanging="482"/>
      <w:jc w:val="both"/>
    </w:pPr>
    <w:rPr>
      <w:rFonts w:ascii="Times New Roman" w:eastAsia="Times New Roman" w:hAnsi="Times New Roman"/>
      <w:b/>
      <w:caps/>
      <w:sz w:val="24"/>
      <w:szCs w:val="20"/>
    </w:rPr>
  </w:style>
  <w:style w:type="paragraph" w:styleId="TOC2">
    <w:name w:val="toc 2"/>
    <w:basedOn w:val="Normal"/>
    <w:next w:val="Normal"/>
    <w:uiPriority w:val="39"/>
    <w:rsid w:val="00851C95"/>
    <w:pPr>
      <w:tabs>
        <w:tab w:val="right" w:leader="dot" w:pos="8640"/>
      </w:tabs>
      <w:spacing w:before="60" w:beforeAutospacing="1" w:after="60" w:afterAutospacing="1" w:line="240" w:lineRule="auto"/>
      <w:ind w:left="1077" w:right="720" w:hanging="595"/>
      <w:jc w:val="both"/>
    </w:pPr>
    <w:rPr>
      <w:rFonts w:ascii="Times New Roman" w:eastAsia="Times New Roman" w:hAnsi="Times New Roman"/>
      <w:sz w:val="24"/>
      <w:szCs w:val="20"/>
    </w:rPr>
  </w:style>
  <w:style w:type="paragraph" w:styleId="TOC3">
    <w:name w:val="toc 3"/>
    <w:basedOn w:val="Normal"/>
    <w:next w:val="Normal"/>
    <w:uiPriority w:val="39"/>
    <w:rsid w:val="00851C95"/>
    <w:pPr>
      <w:tabs>
        <w:tab w:val="right" w:leader="dot" w:pos="8640"/>
      </w:tabs>
      <w:spacing w:before="60" w:beforeAutospacing="1" w:after="60" w:afterAutospacing="1" w:line="240" w:lineRule="auto"/>
      <w:ind w:left="1916" w:right="720" w:hanging="839"/>
      <w:jc w:val="both"/>
    </w:pPr>
    <w:rPr>
      <w:rFonts w:ascii="Times New Roman" w:eastAsia="Times New Roman" w:hAnsi="Times New Roman"/>
      <w:sz w:val="24"/>
      <w:szCs w:val="20"/>
    </w:rPr>
  </w:style>
  <w:style w:type="paragraph" w:styleId="TOC4">
    <w:name w:val="toc 4"/>
    <w:basedOn w:val="Normal"/>
    <w:next w:val="Normal"/>
    <w:uiPriority w:val="39"/>
    <w:rsid w:val="00851C95"/>
    <w:pPr>
      <w:tabs>
        <w:tab w:val="right" w:leader="dot" w:pos="8641"/>
      </w:tabs>
      <w:spacing w:before="60" w:beforeAutospacing="1" w:after="60" w:afterAutospacing="1" w:line="240" w:lineRule="auto"/>
      <w:ind w:left="2880" w:right="720" w:hanging="964"/>
      <w:jc w:val="both"/>
    </w:pPr>
    <w:rPr>
      <w:rFonts w:ascii="Times New Roman" w:eastAsia="Times New Roman" w:hAnsi="Times New Roman"/>
      <w:sz w:val="24"/>
      <w:szCs w:val="20"/>
    </w:rPr>
  </w:style>
  <w:style w:type="paragraph" w:styleId="TOC6">
    <w:name w:val="toc 6"/>
    <w:basedOn w:val="Normal"/>
    <w:next w:val="Normal"/>
    <w:autoRedefine/>
    <w:uiPriority w:val="39"/>
    <w:unhideWhenUsed/>
    <w:rsid w:val="00851C95"/>
    <w:pPr>
      <w:spacing w:before="100" w:beforeAutospacing="1" w:after="100" w:afterAutospacing="1" w:line="240" w:lineRule="auto"/>
      <w:ind w:left="1100"/>
      <w:jc w:val="both"/>
    </w:pPr>
    <w:rPr>
      <w:rFonts w:eastAsia="Times New Roman"/>
      <w:sz w:val="24"/>
      <w:szCs w:val="20"/>
      <w:lang w:eastAsia="en-GB"/>
    </w:rPr>
  </w:style>
  <w:style w:type="paragraph" w:styleId="TOC7">
    <w:name w:val="toc 7"/>
    <w:basedOn w:val="Normal"/>
    <w:next w:val="Normal"/>
    <w:autoRedefine/>
    <w:uiPriority w:val="39"/>
    <w:unhideWhenUsed/>
    <w:rsid w:val="00851C95"/>
    <w:pPr>
      <w:spacing w:before="100" w:beforeAutospacing="1" w:after="100" w:afterAutospacing="1" w:line="240" w:lineRule="auto"/>
      <w:ind w:left="1320"/>
      <w:jc w:val="both"/>
    </w:pPr>
    <w:rPr>
      <w:rFonts w:eastAsia="Times New Roman"/>
      <w:sz w:val="24"/>
      <w:szCs w:val="20"/>
      <w:lang w:eastAsia="en-GB"/>
    </w:rPr>
  </w:style>
  <w:style w:type="paragraph" w:styleId="TOC8">
    <w:name w:val="toc 8"/>
    <w:basedOn w:val="Normal"/>
    <w:next w:val="Normal"/>
    <w:autoRedefine/>
    <w:uiPriority w:val="39"/>
    <w:unhideWhenUsed/>
    <w:rsid w:val="00851C95"/>
    <w:pPr>
      <w:spacing w:before="100" w:beforeAutospacing="1" w:after="100" w:afterAutospacing="1" w:line="240" w:lineRule="auto"/>
      <w:ind w:left="1540"/>
      <w:jc w:val="both"/>
    </w:pPr>
    <w:rPr>
      <w:rFonts w:eastAsia="Times New Roman"/>
      <w:sz w:val="24"/>
      <w:szCs w:val="20"/>
      <w:lang w:eastAsia="en-GB"/>
    </w:rPr>
  </w:style>
  <w:style w:type="paragraph" w:styleId="TOC9">
    <w:name w:val="toc 9"/>
    <w:basedOn w:val="Normal"/>
    <w:next w:val="Normal"/>
    <w:autoRedefine/>
    <w:uiPriority w:val="39"/>
    <w:unhideWhenUsed/>
    <w:rsid w:val="00851C95"/>
    <w:pPr>
      <w:spacing w:before="100" w:beforeAutospacing="1" w:after="100" w:afterAutospacing="1" w:line="240" w:lineRule="auto"/>
      <w:ind w:left="1760"/>
      <w:jc w:val="both"/>
    </w:pPr>
    <w:rPr>
      <w:rFonts w:eastAsia="Times New Roman"/>
      <w:sz w:val="24"/>
      <w:szCs w:val="20"/>
      <w:lang w:eastAsia="en-GB"/>
    </w:rPr>
  </w:style>
  <w:style w:type="paragraph" w:styleId="Caption">
    <w:name w:val="caption"/>
    <w:basedOn w:val="Normal"/>
    <w:next w:val="Normal"/>
    <w:uiPriority w:val="35"/>
    <w:semiHidden/>
    <w:unhideWhenUsed/>
    <w:qFormat/>
    <w:rsid w:val="00851C95"/>
    <w:pPr>
      <w:spacing w:before="100" w:beforeAutospacing="1" w:after="100" w:afterAutospacing="1" w:line="240" w:lineRule="auto"/>
      <w:jc w:val="both"/>
    </w:pPr>
    <w:rPr>
      <w:rFonts w:ascii="Times New Roman" w:eastAsia="Times New Roman" w:hAnsi="Times New Roman"/>
      <w:b/>
      <w:bCs/>
      <w:caps/>
      <w:sz w:val="16"/>
      <w:szCs w:val="18"/>
      <w:lang w:eastAsia="en-GB"/>
    </w:rPr>
  </w:style>
  <w:style w:type="paragraph" w:styleId="Subtitle">
    <w:name w:val="Subtitle"/>
    <w:basedOn w:val="Normal"/>
    <w:next w:val="Normal"/>
    <w:link w:val="SubtitleChar"/>
    <w:uiPriority w:val="11"/>
    <w:rsid w:val="00851C95"/>
    <w:pPr>
      <w:spacing w:before="100" w:beforeAutospacing="1" w:after="720" w:afterAutospacing="1" w:line="240" w:lineRule="auto"/>
      <w:jc w:val="right"/>
    </w:pPr>
    <w:rPr>
      <w:rFonts w:ascii="Cambria" w:eastAsia="Times New Roman" w:hAnsi="Cambria"/>
      <w:sz w:val="24"/>
      <w:lang w:eastAsia="en-GB"/>
    </w:rPr>
  </w:style>
  <w:style w:type="character" w:customStyle="1" w:styleId="SubtitleChar">
    <w:name w:val="Subtitle Char"/>
    <w:link w:val="Subtitle"/>
    <w:uiPriority w:val="11"/>
    <w:rsid w:val="00851C95"/>
    <w:rPr>
      <w:rFonts w:ascii="Cambria" w:eastAsia="Times New Roman" w:hAnsi="Cambria" w:cs="Times New Roman"/>
      <w:sz w:val="24"/>
      <w:lang w:eastAsia="en-GB"/>
    </w:rPr>
  </w:style>
  <w:style w:type="character" w:styleId="Strong">
    <w:name w:val="Strong"/>
    <w:uiPriority w:val="22"/>
    <w:qFormat/>
    <w:rsid w:val="00851C95"/>
    <w:rPr>
      <w:b/>
      <w:color w:val="C0504D"/>
    </w:rPr>
  </w:style>
  <w:style w:type="paragraph" w:styleId="NoSpacing">
    <w:name w:val="No Spacing"/>
    <w:basedOn w:val="Normal"/>
    <w:link w:val="NoSpacingChar"/>
    <w:uiPriority w:val="1"/>
    <w:qFormat/>
    <w:rsid w:val="00851C95"/>
    <w:pPr>
      <w:spacing w:before="100" w:beforeAutospacing="1" w:after="0" w:afterAutospacing="1" w:line="240" w:lineRule="auto"/>
      <w:jc w:val="both"/>
    </w:pPr>
    <w:rPr>
      <w:rFonts w:ascii="Times New Roman" w:eastAsia="Times New Roman" w:hAnsi="Times New Roman"/>
      <w:sz w:val="24"/>
      <w:szCs w:val="20"/>
      <w:lang w:eastAsia="en-GB"/>
    </w:rPr>
  </w:style>
  <w:style w:type="character" w:customStyle="1" w:styleId="NoSpacingChar">
    <w:name w:val="No Spacing Char"/>
    <w:link w:val="NoSpacing"/>
    <w:uiPriority w:val="1"/>
    <w:rsid w:val="00851C95"/>
    <w:rPr>
      <w:rFonts w:ascii="Times New Roman" w:eastAsia="Times New Roman" w:hAnsi="Times New Roman" w:cs="Times New Roman"/>
      <w:sz w:val="24"/>
      <w:szCs w:val="20"/>
      <w:lang w:eastAsia="en-GB"/>
    </w:rPr>
  </w:style>
  <w:style w:type="paragraph" w:styleId="Quote">
    <w:name w:val="Quote"/>
    <w:basedOn w:val="Normal"/>
    <w:next w:val="Normal"/>
    <w:link w:val="QuoteChar"/>
    <w:uiPriority w:val="29"/>
    <w:rsid w:val="00851C95"/>
    <w:pPr>
      <w:spacing w:before="100" w:beforeAutospacing="1" w:after="100" w:afterAutospacing="1" w:line="240" w:lineRule="auto"/>
      <w:jc w:val="both"/>
    </w:pPr>
    <w:rPr>
      <w:rFonts w:ascii="Times New Roman" w:eastAsia="Times New Roman" w:hAnsi="Times New Roman"/>
      <w:i/>
      <w:sz w:val="24"/>
      <w:szCs w:val="20"/>
      <w:lang w:eastAsia="en-GB"/>
    </w:rPr>
  </w:style>
  <w:style w:type="character" w:customStyle="1" w:styleId="QuoteChar">
    <w:name w:val="Quote Char"/>
    <w:link w:val="Quote"/>
    <w:uiPriority w:val="29"/>
    <w:rsid w:val="00851C95"/>
    <w:rPr>
      <w:rFonts w:ascii="Times New Roman" w:eastAsia="Times New Roman" w:hAnsi="Times New Roman" w:cs="Times New Roman"/>
      <w:i/>
      <w:sz w:val="24"/>
      <w:szCs w:val="20"/>
      <w:lang w:eastAsia="en-GB"/>
    </w:rPr>
  </w:style>
  <w:style w:type="paragraph" w:styleId="IntenseQuote">
    <w:name w:val="Intense Quote"/>
    <w:basedOn w:val="Normal"/>
    <w:next w:val="Normal"/>
    <w:link w:val="IntenseQuoteChar"/>
    <w:uiPriority w:val="30"/>
    <w:rsid w:val="00851C95"/>
    <w:pPr>
      <w:pBdr>
        <w:top w:val="single" w:sz="8" w:space="10" w:color="943634"/>
        <w:left w:val="single" w:sz="8" w:space="10" w:color="943634"/>
        <w:bottom w:val="single" w:sz="8" w:space="10" w:color="943634"/>
        <w:right w:val="single" w:sz="8" w:space="10" w:color="943634"/>
      </w:pBdr>
      <w:shd w:val="clear" w:color="auto" w:fill="C0504D"/>
      <w:spacing w:before="140" w:beforeAutospacing="1" w:after="140" w:afterAutospacing="1" w:line="240" w:lineRule="auto"/>
      <w:ind w:left="1440" w:right="1440"/>
      <w:jc w:val="both"/>
    </w:pPr>
    <w:rPr>
      <w:rFonts w:ascii="Times New Roman" w:eastAsia="Times New Roman" w:hAnsi="Times New Roman"/>
      <w:b/>
      <w:i/>
      <w:color w:val="FFFFFF"/>
      <w:sz w:val="24"/>
      <w:szCs w:val="20"/>
      <w:lang w:eastAsia="en-GB"/>
    </w:rPr>
  </w:style>
  <w:style w:type="character" w:customStyle="1" w:styleId="IntenseQuoteChar">
    <w:name w:val="Intense Quote Char"/>
    <w:link w:val="IntenseQuote"/>
    <w:uiPriority w:val="30"/>
    <w:rsid w:val="00851C95"/>
    <w:rPr>
      <w:rFonts w:ascii="Times New Roman" w:eastAsia="Times New Roman" w:hAnsi="Times New Roman" w:cs="Times New Roman"/>
      <w:b/>
      <w:i/>
      <w:color w:val="FFFFFF"/>
      <w:sz w:val="24"/>
      <w:szCs w:val="20"/>
      <w:shd w:val="clear" w:color="auto" w:fill="C0504D"/>
      <w:lang w:eastAsia="en-GB"/>
    </w:rPr>
  </w:style>
  <w:style w:type="character" w:styleId="SubtleEmphasis">
    <w:name w:val="Subtle Emphasis"/>
    <w:uiPriority w:val="19"/>
    <w:rsid w:val="00851C95"/>
    <w:rPr>
      <w:i/>
    </w:rPr>
  </w:style>
  <w:style w:type="character" w:styleId="IntenseEmphasis">
    <w:name w:val="Intense Emphasis"/>
    <w:uiPriority w:val="21"/>
    <w:rsid w:val="00851C95"/>
    <w:rPr>
      <w:b/>
      <w:i/>
      <w:color w:val="C0504D"/>
      <w:spacing w:val="10"/>
    </w:rPr>
  </w:style>
  <w:style w:type="character" w:styleId="SubtleReference">
    <w:name w:val="Subtle Reference"/>
    <w:uiPriority w:val="31"/>
    <w:rsid w:val="00851C95"/>
    <w:rPr>
      <w:b/>
    </w:rPr>
  </w:style>
  <w:style w:type="character" w:styleId="IntenseReference">
    <w:name w:val="Intense Reference"/>
    <w:uiPriority w:val="32"/>
    <w:rsid w:val="00851C95"/>
    <w:rPr>
      <w:b/>
      <w:bCs/>
      <w:smallCaps/>
      <w:spacing w:val="5"/>
      <w:sz w:val="22"/>
      <w:szCs w:val="22"/>
      <w:u w:val="single"/>
    </w:rPr>
  </w:style>
  <w:style w:type="character" w:styleId="BookTitle">
    <w:name w:val="Book Title"/>
    <w:uiPriority w:val="33"/>
    <w:rsid w:val="00851C95"/>
    <w:rPr>
      <w:rFonts w:ascii="Cambria" w:eastAsia="Times New Roman" w:hAnsi="Cambria" w:cs="Times New Roman"/>
      <w:i/>
      <w:iCs/>
      <w:sz w:val="20"/>
      <w:szCs w:val="20"/>
    </w:rPr>
  </w:style>
  <w:style w:type="table" w:styleId="TableGrid">
    <w:name w:val="Table Grid"/>
    <w:basedOn w:val="TableNormal"/>
    <w:uiPriority w:val="59"/>
    <w:rsid w:val="00851C9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851C95"/>
    <w:pPr>
      <w:spacing w:before="240" w:after="120" w:line="240" w:lineRule="auto"/>
      <w:jc w:val="center"/>
    </w:pPr>
    <w:rPr>
      <w:rFonts w:ascii="Times New Roman" w:eastAsia="Times New Roman" w:hAnsi="Times New Roman"/>
      <w:b/>
      <w:bCs/>
      <w:sz w:val="24"/>
      <w:szCs w:val="24"/>
      <w:lang w:eastAsia="en-GB"/>
    </w:rPr>
  </w:style>
  <w:style w:type="character" w:customStyle="1" w:styleId="ListDash3Char">
    <w:name w:val="List Dash 3 Char"/>
    <w:link w:val="ListDash3"/>
    <w:rsid w:val="00851C95"/>
    <w:rPr>
      <w:rFonts w:ascii="Times New Roman" w:eastAsia="Times New Roman" w:hAnsi="Times New Roman" w:cs="Times New Roman"/>
      <w:sz w:val="24"/>
      <w:szCs w:val="20"/>
    </w:rPr>
  </w:style>
  <w:style w:type="paragraph" w:customStyle="1" w:styleId="1">
    <w:name w:val="1"/>
    <w:basedOn w:val="Normal"/>
    <w:link w:val="FootnoteReference"/>
    <w:uiPriority w:val="99"/>
    <w:qFormat/>
    <w:rsid w:val="002B19F1"/>
    <w:pPr>
      <w:spacing w:after="160" w:line="240" w:lineRule="exact"/>
    </w:pPr>
    <w:rPr>
      <w:sz w:val="20"/>
      <w:szCs w:val="20"/>
      <w:vertAlign w:val="superscript"/>
      <w:lang w:eastAsia="en-GB"/>
    </w:rPr>
  </w:style>
  <w:style w:type="paragraph" w:styleId="EndnoteText">
    <w:name w:val="endnote text"/>
    <w:basedOn w:val="Normal"/>
    <w:link w:val="EndnoteTextChar"/>
    <w:uiPriority w:val="99"/>
    <w:semiHidden/>
    <w:unhideWhenUsed/>
    <w:rsid w:val="00DF48E8"/>
    <w:rPr>
      <w:sz w:val="20"/>
      <w:szCs w:val="20"/>
    </w:rPr>
  </w:style>
  <w:style w:type="character" w:customStyle="1" w:styleId="EndnoteTextChar">
    <w:name w:val="Endnote Text Char"/>
    <w:link w:val="EndnoteText"/>
    <w:uiPriority w:val="99"/>
    <w:semiHidden/>
    <w:rsid w:val="00DF48E8"/>
    <w:rPr>
      <w:lang w:eastAsia="en-US"/>
    </w:rPr>
  </w:style>
  <w:style w:type="character" w:styleId="EndnoteReference">
    <w:name w:val="endnote reference"/>
    <w:uiPriority w:val="99"/>
    <w:semiHidden/>
    <w:unhideWhenUsed/>
    <w:rsid w:val="00DF48E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1C95"/>
    <w:pPr>
      <w:spacing w:after="200" w:line="276" w:lineRule="auto"/>
    </w:pPr>
    <w:rPr>
      <w:sz w:val="22"/>
      <w:szCs w:val="22"/>
      <w:lang w:eastAsia="en-US"/>
    </w:rPr>
  </w:style>
  <w:style w:type="paragraph" w:styleId="Heading1">
    <w:name w:val="heading 1"/>
    <w:basedOn w:val="Title"/>
    <w:next w:val="Normal"/>
    <w:link w:val="Heading1Char"/>
    <w:uiPriority w:val="9"/>
    <w:qFormat/>
    <w:rsid w:val="00851C95"/>
    <w:pPr>
      <w:tabs>
        <w:tab w:val="clear" w:pos="-1440"/>
        <w:tab w:val="clear" w:pos="-720"/>
        <w:tab w:val="clear" w:pos="828"/>
        <w:tab w:val="clear" w:pos="1044"/>
        <w:tab w:val="clear" w:pos="1260"/>
        <w:tab w:val="clear" w:pos="1476"/>
        <w:tab w:val="clear" w:pos="1692"/>
        <w:tab w:val="clear" w:pos="2160"/>
      </w:tabs>
      <w:spacing w:before="240" w:after="360"/>
      <w:outlineLvl w:val="0"/>
    </w:pPr>
    <w:rPr>
      <w:rFonts w:ascii="Times New Roman Bold" w:hAnsi="Times New Roman Bold"/>
      <w:bCs w:val="0"/>
      <w:caps/>
      <w:snapToGrid/>
      <w:sz w:val="24"/>
      <w:szCs w:val="24"/>
      <w:lang w:val="en-GB"/>
    </w:rPr>
  </w:style>
  <w:style w:type="paragraph" w:styleId="Heading2">
    <w:name w:val="heading 2"/>
    <w:basedOn w:val="Normal"/>
    <w:next w:val="Normal"/>
    <w:link w:val="Heading2Char"/>
    <w:uiPriority w:val="9"/>
    <w:unhideWhenUsed/>
    <w:qFormat/>
    <w:rsid w:val="00851C95"/>
    <w:pPr>
      <w:spacing w:before="240" w:after="240" w:line="240" w:lineRule="auto"/>
      <w:jc w:val="both"/>
      <w:outlineLvl w:val="1"/>
    </w:pPr>
    <w:rPr>
      <w:rFonts w:ascii="Times New Roman Bold" w:eastAsia="Times New Roman" w:hAnsi="Times New Roman Bold"/>
      <w:b/>
      <w:caps/>
      <w:sz w:val="24"/>
      <w:szCs w:val="24"/>
      <w:lang w:eastAsia="en-GB"/>
    </w:rPr>
  </w:style>
  <w:style w:type="paragraph" w:styleId="Heading3">
    <w:name w:val="heading 3"/>
    <w:basedOn w:val="Normal"/>
    <w:next w:val="Normal"/>
    <w:link w:val="Heading3Char"/>
    <w:uiPriority w:val="9"/>
    <w:unhideWhenUsed/>
    <w:qFormat/>
    <w:rsid w:val="00851C95"/>
    <w:pPr>
      <w:spacing w:before="240" w:after="240" w:line="240" w:lineRule="auto"/>
      <w:outlineLvl w:val="2"/>
    </w:pPr>
    <w:rPr>
      <w:rFonts w:ascii="Times New Roman Bold" w:eastAsia="Times New Roman" w:hAnsi="Times New Roman Bold"/>
      <w:b/>
      <w:spacing w:val="5"/>
      <w:sz w:val="24"/>
      <w:szCs w:val="24"/>
      <w:lang w:eastAsia="en-GB"/>
    </w:rPr>
  </w:style>
  <w:style w:type="paragraph" w:styleId="Heading4">
    <w:name w:val="heading 4"/>
    <w:basedOn w:val="Normal"/>
    <w:next w:val="Normal"/>
    <w:link w:val="Heading4Char"/>
    <w:uiPriority w:val="9"/>
    <w:unhideWhenUsed/>
    <w:qFormat/>
    <w:rsid w:val="00851C95"/>
    <w:pPr>
      <w:tabs>
        <w:tab w:val="left" w:pos="1134"/>
      </w:tabs>
      <w:spacing w:before="240" w:after="120" w:line="240" w:lineRule="auto"/>
      <w:ind w:left="1134" w:hanging="1134"/>
      <w:jc w:val="both"/>
      <w:outlineLvl w:val="3"/>
    </w:pPr>
    <w:rPr>
      <w:rFonts w:ascii="Times New Roman" w:eastAsia="Times New Roman" w:hAnsi="Times New Roman"/>
      <w:b/>
      <w:sz w:val="24"/>
      <w:szCs w:val="24"/>
      <w:u w:val="single"/>
      <w:lang w:eastAsia="en-GB"/>
    </w:rPr>
  </w:style>
  <w:style w:type="paragraph" w:styleId="Heading5">
    <w:name w:val="heading 5"/>
    <w:basedOn w:val="Normal"/>
    <w:next w:val="Normal"/>
    <w:link w:val="Heading5Char"/>
    <w:uiPriority w:val="9"/>
    <w:semiHidden/>
    <w:unhideWhenUsed/>
    <w:qFormat/>
    <w:rsid w:val="00851C95"/>
    <w:pPr>
      <w:spacing w:before="200" w:beforeAutospacing="1" w:after="0" w:afterAutospacing="1" w:line="240" w:lineRule="auto"/>
      <w:outlineLvl w:val="4"/>
    </w:pPr>
    <w:rPr>
      <w:rFonts w:ascii="Times New Roman" w:eastAsia="Times New Roman" w:hAnsi="Times New Roman"/>
      <w:smallCaps/>
      <w:color w:val="943634"/>
      <w:spacing w:val="10"/>
      <w:szCs w:val="26"/>
      <w:lang w:eastAsia="en-GB"/>
    </w:rPr>
  </w:style>
  <w:style w:type="paragraph" w:styleId="Heading6">
    <w:name w:val="heading 6"/>
    <w:basedOn w:val="Normal"/>
    <w:next w:val="Normal"/>
    <w:link w:val="Heading6Char"/>
    <w:uiPriority w:val="9"/>
    <w:semiHidden/>
    <w:unhideWhenUsed/>
    <w:qFormat/>
    <w:rsid w:val="00851C95"/>
    <w:pPr>
      <w:spacing w:before="100" w:beforeAutospacing="1" w:after="0" w:afterAutospacing="1" w:line="240" w:lineRule="auto"/>
      <w:outlineLvl w:val="5"/>
    </w:pPr>
    <w:rPr>
      <w:rFonts w:ascii="Times New Roman" w:eastAsia="Times New Roman" w:hAnsi="Times New Roman"/>
      <w:smallCaps/>
      <w:color w:val="C0504D"/>
      <w:spacing w:val="5"/>
      <w:szCs w:val="20"/>
      <w:lang w:eastAsia="en-GB"/>
    </w:rPr>
  </w:style>
  <w:style w:type="paragraph" w:styleId="Heading7">
    <w:name w:val="heading 7"/>
    <w:basedOn w:val="Normal"/>
    <w:next w:val="Normal"/>
    <w:link w:val="Heading7Char"/>
    <w:uiPriority w:val="9"/>
    <w:semiHidden/>
    <w:unhideWhenUsed/>
    <w:qFormat/>
    <w:rsid w:val="00851C95"/>
    <w:pPr>
      <w:spacing w:before="100" w:beforeAutospacing="1" w:after="0" w:afterAutospacing="1" w:line="240" w:lineRule="auto"/>
      <w:outlineLvl w:val="6"/>
    </w:pPr>
    <w:rPr>
      <w:rFonts w:ascii="Times New Roman" w:eastAsia="Times New Roman" w:hAnsi="Times New Roman"/>
      <w:b/>
      <w:smallCaps/>
      <w:color w:val="C0504D"/>
      <w:spacing w:val="10"/>
      <w:sz w:val="24"/>
      <w:szCs w:val="20"/>
      <w:lang w:eastAsia="en-GB"/>
    </w:rPr>
  </w:style>
  <w:style w:type="paragraph" w:styleId="Heading8">
    <w:name w:val="heading 8"/>
    <w:basedOn w:val="Normal"/>
    <w:next w:val="Normal"/>
    <w:link w:val="Heading8Char"/>
    <w:uiPriority w:val="9"/>
    <w:semiHidden/>
    <w:unhideWhenUsed/>
    <w:qFormat/>
    <w:rsid w:val="00851C95"/>
    <w:pPr>
      <w:spacing w:before="100" w:beforeAutospacing="1" w:after="0" w:afterAutospacing="1" w:line="240" w:lineRule="auto"/>
      <w:outlineLvl w:val="7"/>
    </w:pPr>
    <w:rPr>
      <w:rFonts w:ascii="Times New Roman" w:eastAsia="Times New Roman" w:hAnsi="Times New Roman"/>
      <w:b/>
      <w:i/>
      <w:smallCaps/>
      <w:color w:val="943634"/>
      <w:sz w:val="24"/>
      <w:szCs w:val="20"/>
      <w:lang w:eastAsia="en-GB"/>
    </w:rPr>
  </w:style>
  <w:style w:type="paragraph" w:styleId="Heading9">
    <w:name w:val="heading 9"/>
    <w:basedOn w:val="Normal"/>
    <w:next w:val="Normal"/>
    <w:link w:val="Heading9Char"/>
    <w:uiPriority w:val="9"/>
    <w:semiHidden/>
    <w:unhideWhenUsed/>
    <w:qFormat/>
    <w:rsid w:val="00851C95"/>
    <w:pPr>
      <w:spacing w:before="100" w:beforeAutospacing="1" w:after="0" w:afterAutospacing="1" w:line="240" w:lineRule="auto"/>
      <w:outlineLvl w:val="8"/>
    </w:pPr>
    <w:rPr>
      <w:rFonts w:ascii="Times New Roman" w:eastAsia="Times New Roman" w:hAnsi="Times New Roman"/>
      <w:b/>
      <w:i/>
      <w:smallCaps/>
      <w:color w:val="622423"/>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51C95"/>
    <w:rPr>
      <w:rFonts w:ascii="Times New Roman Bold" w:eastAsia="Times New Roman" w:hAnsi="Times New Roman Bold" w:cs="Times New Roman"/>
      <w:b/>
      <w:caps/>
      <w:sz w:val="24"/>
      <w:szCs w:val="24"/>
      <w:lang w:eastAsia="en-GB"/>
    </w:rPr>
  </w:style>
  <w:style w:type="character" w:customStyle="1" w:styleId="Heading2Char">
    <w:name w:val="Heading 2 Char"/>
    <w:link w:val="Heading2"/>
    <w:uiPriority w:val="9"/>
    <w:rsid w:val="00851C95"/>
    <w:rPr>
      <w:rFonts w:ascii="Times New Roman Bold" w:eastAsia="Times New Roman" w:hAnsi="Times New Roman Bold" w:cs="Times New Roman"/>
      <w:b/>
      <w:caps/>
      <w:sz w:val="24"/>
      <w:szCs w:val="24"/>
      <w:lang w:eastAsia="en-GB"/>
    </w:rPr>
  </w:style>
  <w:style w:type="character" w:customStyle="1" w:styleId="Heading3Char">
    <w:name w:val="Heading 3 Char"/>
    <w:link w:val="Heading3"/>
    <w:uiPriority w:val="9"/>
    <w:rsid w:val="00851C95"/>
    <w:rPr>
      <w:rFonts w:ascii="Times New Roman Bold" w:eastAsia="Times New Roman" w:hAnsi="Times New Roman Bold" w:cs="Times New Roman"/>
      <w:b/>
      <w:spacing w:val="5"/>
      <w:sz w:val="24"/>
      <w:szCs w:val="24"/>
      <w:lang w:eastAsia="en-GB"/>
    </w:rPr>
  </w:style>
  <w:style w:type="character" w:customStyle="1" w:styleId="Heading4Char">
    <w:name w:val="Heading 4 Char"/>
    <w:link w:val="Heading4"/>
    <w:uiPriority w:val="9"/>
    <w:rsid w:val="00851C95"/>
    <w:rPr>
      <w:rFonts w:ascii="Times New Roman" w:eastAsia="Times New Roman" w:hAnsi="Times New Roman" w:cs="Times New Roman"/>
      <w:b/>
      <w:sz w:val="24"/>
      <w:szCs w:val="24"/>
      <w:u w:val="single"/>
      <w:lang w:eastAsia="en-GB"/>
    </w:rPr>
  </w:style>
  <w:style w:type="character" w:customStyle="1" w:styleId="Heading5Char">
    <w:name w:val="Heading 5 Char"/>
    <w:link w:val="Heading5"/>
    <w:uiPriority w:val="9"/>
    <w:semiHidden/>
    <w:rsid w:val="00851C95"/>
    <w:rPr>
      <w:rFonts w:ascii="Times New Roman" w:eastAsia="Times New Roman" w:hAnsi="Times New Roman" w:cs="Times New Roman"/>
      <w:smallCaps/>
      <w:color w:val="943634"/>
      <w:spacing w:val="10"/>
      <w:szCs w:val="26"/>
      <w:lang w:eastAsia="en-GB"/>
    </w:rPr>
  </w:style>
  <w:style w:type="character" w:customStyle="1" w:styleId="Heading6Char">
    <w:name w:val="Heading 6 Char"/>
    <w:link w:val="Heading6"/>
    <w:uiPriority w:val="9"/>
    <w:semiHidden/>
    <w:rsid w:val="00851C95"/>
    <w:rPr>
      <w:rFonts w:ascii="Times New Roman" w:eastAsia="Times New Roman" w:hAnsi="Times New Roman" w:cs="Times New Roman"/>
      <w:smallCaps/>
      <w:color w:val="C0504D"/>
      <w:spacing w:val="5"/>
      <w:szCs w:val="20"/>
      <w:lang w:eastAsia="en-GB"/>
    </w:rPr>
  </w:style>
  <w:style w:type="character" w:customStyle="1" w:styleId="Heading7Char">
    <w:name w:val="Heading 7 Char"/>
    <w:link w:val="Heading7"/>
    <w:uiPriority w:val="9"/>
    <w:semiHidden/>
    <w:rsid w:val="00851C95"/>
    <w:rPr>
      <w:rFonts w:ascii="Times New Roman" w:eastAsia="Times New Roman" w:hAnsi="Times New Roman" w:cs="Times New Roman"/>
      <w:b/>
      <w:smallCaps/>
      <w:color w:val="C0504D"/>
      <w:spacing w:val="10"/>
      <w:sz w:val="24"/>
      <w:szCs w:val="20"/>
      <w:lang w:eastAsia="en-GB"/>
    </w:rPr>
  </w:style>
  <w:style w:type="character" w:customStyle="1" w:styleId="Heading8Char">
    <w:name w:val="Heading 8 Char"/>
    <w:link w:val="Heading8"/>
    <w:uiPriority w:val="9"/>
    <w:semiHidden/>
    <w:rsid w:val="00851C95"/>
    <w:rPr>
      <w:rFonts w:ascii="Times New Roman" w:eastAsia="Times New Roman" w:hAnsi="Times New Roman" w:cs="Times New Roman"/>
      <w:b/>
      <w:i/>
      <w:smallCaps/>
      <w:color w:val="943634"/>
      <w:sz w:val="24"/>
      <w:szCs w:val="20"/>
      <w:lang w:eastAsia="en-GB"/>
    </w:rPr>
  </w:style>
  <w:style w:type="character" w:customStyle="1" w:styleId="Heading9Char">
    <w:name w:val="Heading 9 Char"/>
    <w:link w:val="Heading9"/>
    <w:uiPriority w:val="9"/>
    <w:semiHidden/>
    <w:rsid w:val="00851C95"/>
    <w:rPr>
      <w:rFonts w:ascii="Times New Roman" w:eastAsia="Times New Roman" w:hAnsi="Times New Roman" w:cs="Times New Roman"/>
      <w:b/>
      <w:i/>
      <w:smallCaps/>
      <w:color w:val="622423"/>
      <w:sz w:val="24"/>
      <w:szCs w:val="20"/>
      <w:lang w:eastAsia="en-GB"/>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unhideWhenUsed/>
    <w:rsid w:val="00851C95"/>
    <w:rPr>
      <w:sz w:val="20"/>
      <w:szCs w:val="20"/>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851C95"/>
    <w:rPr>
      <w:rFonts w:ascii="Calibri" w:eastAsia="Calibri" w:hAnsi="Calibri" w:cs="Times New Roman"/>
      <w:sz w:val="20"/>
      <w:szCs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1"/>
    <w:uiPriority w:val="99"/>
    <w:unhideWhenUsed/>
    <w:rsid w:val="00851C95"/>
    <w:rPr>
      <w:vertAlign w:val="superscript"/>
    </w:rPr>
  </w:style>
  <w:style w:type="paragraph" w:styleId="Header">
    <w:name w:val="header"/>
    <w:basedOn w:val="Normal"/>
    <w:link w:val="HeaderChar"/>
    <w:unhideWhenUsed/>
    <w:rsid w:val="00851C95"/>
    <w:pPr>
      <w:tabs>
        <w:tab w:val="center" w:pos="4513"/>
        <w:tab w:val="right" w:pos="9026"/>
      </w:tabs>
    </w:pPr>
  </w:style>
  <w:style w:type="character" w:customStyle="1" w:styleId="HeaderChar">
    <w:name w:val="Header Char"/>
    <w:link w:val="Header"/>
    <w:rsid w:val="00851C95"/>
    <w:rPr>
      <w:rFonts w:ascii="Calibri" w:eastAsia="Calibri" w:hAnsi="Calibri" w:cs="Times New Roman"/>
    </w:rPr>
  </w:style>
  <w:style w:type="paragraph" w:styleId="Footer">
    <w:name w:val="footer"/>
    <w:basedOn w:val="Normal"/>
    <w:link w:val="FooterChar"/>
    <w:uiPriority w:val="99"/>
    <w:unhideWhenUsed/>
    <w:rsid w:val="00851C95"/>
    <w:pPr>
      <w:tabs>
        <w:tab w:val="center" w:pos="4513"/>
        <w:tab w:val="right" w:pos="9026"/>
      </w:tabs>
    </w:pPr>
  </w:style>
  <w:style w:type="character" w:customStyle="1" w:styleId="FooterChar">
    <w:name w:val="Footer Char"/>
    <w:link w:val="Footer"/>
    <w:uiPriority w:val="99"/>
    <w:rsid w:val="00851C95"/>
    <w:rPr>
      <w:rFonts w:ascii="Calibri" w:eastAsia="Calibri" w:hAnsi="Calibri" w:cs="Times New Roman"/>
    </w:rPr>
  </w:style>
  <w:style w:type="character" w:styleId="CommentReference">
    <w:name w:val="annotation reference"/>
    <w:uiPriority w:val="99"/>
    <w:unhideWhenUsed/>
    <w:rsid w:val="00851C95"/>
    <w:rPr>
      <w:sz w:val="16"/>
      <w:szCs w:val="16"/>
    </w:rPr>
  </w:style>
  <w:style w:type="paragraph" w:styleId="CommentText">
    <w:name w:val="annotation text"/>
    <w:basedOn w:val="Normal"/>
    <w:link w:val="CommentTextChar"/>
    <w:uiPriority w:val="99"/>
    <w:unhideWhenUsed/>
    <w:rsid w:val="00851C95"/>
    <w:rPr>
      <w:sz w:val="20"/>
      <w:szCs w:val="20"/>
    </w:rPr>
  </w:style>
  <w:style w:type="character" w:customStyle="1" w:styleId="CommentTextChar">
    <w:name w:val="Comment Text Char"/>
    <w:link w:val="CommentText"/>
    <w:uiPriority w:val="99"/>
    <w:rsid w:val="00851C95"/>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851C9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51C95"/>
    <w:rPr>
      <w:rFonts w:ascii="Tahoma" w:eastAsia="Calibri" w:hAnsi="Tahoma" w:cs="Tahoma"/>
      <w:sz w:val="16"/>
      <w:szCs w:val="16"/>
    </w:rPr>
  </w:style>
  <w:style w:type="paragraph" w:styleId="CommentSubject">
    <w:name w:val="annotation subject"/>
    <w:basedOn w:val="CommentText"/>
    <w:next w:val="CommentText"/>
    <w:link w:val="CommentSubjectChar"/>
    <w:uiPriority w:val="99"/>
    <w:semiHidden/>
    <w:unhideWhenUsed/>
    <w:rsid w:val="00851C95"/>
    <w:rPr>
      <w:b/>
      <w:bCs/>
    </w:rPr>
  </w:style>
  <w:style w:type="character" w:customStyle="1" w:styleId="CommentSubjectChar">
    <w:name w:val="Comment Subject Char"/>
    <w:link w:val="CommentSubject"/>
    <w:uiPriority w:val="99"/>
    <w:semiHidden/>
    <w:rsid w:val="00851C95"/>
    <w:rPr>
      <w:rFonts w:ascii="Calibri" w:eastAsia="Calibri" w:hAnsi="Calibri" w:cs="Times New Roman"/>
      <w:b/>
      <w:bCs/>
      <w:sz w:val="20"/>
      <w:szCs w:val="20"/>
    </w:rPr>
  </w:style>
  <w:style w:type="paragraph" w:styleId="ListParagraph">
    <w:name w:val="List Paragraph"/>
    <w:basedOn w:val="Normal"/>
    <w:uiPriority w:val="34"/>
    <w:qFormat/>
    <w:rsid w:val="00851C95"/>
    <w:pPr>
      <w:ind w:left="720"/>
      <w:contextualSpacing/>
    </w:pPr>
    <w:rPr>
      <w:lang w:val="fr-FR"/>
    </w:rPr>
  </w:style>
  <w:style w:type="numbering" w:customStyle="1" w:styleId="NoList1">
    <w:name w:val="No List1"/>
    <w:next w:val="NoList"/>
    <w:uiPriority w:val="99"/>
    <w:semiHidden/>
    <w:unhideWhenUsed/>
    <w:rsid w:val="00851C95"/>
  </w:style>
  <w:style w:type="paragraph" w:customStyle="1" w:styleId="ListDash">
    <w:name w:val="List Dash"/>
    <w:basedOn w:val="Normal"/>
    <w:rsid w:val="00851C95"/>
    <w:pPr>
      <w:tabs>
        <w:tab w:val="num" w:pos="360"/>
      </w:tabs>
      <w:spacing w:after="240" w:line="240" w:lineRule="auto"/>
      <w:jc w:val="both"/>
    </w:pPr>
    <w:rPr>
      <w:rFonts w:ascii="Times New Roman" w:eastAsia="Times New Roman" w:hAnsi="Times New Roman"/>
      <w:sz w:val="24"/>
      <w:szCs w:val="20"/>
    </w:rPr>
  </w:style>
  <w:style w:type="paragraph" w:customStyle="1" w:styleId="Char1CharCharChar">
    <w:name w:val="Char1 Char Char Char"/>
    <w:basedOn w:val="Normal"/>
    <w:rsid w:val="00851C95"/>
    <w:pPr>
      <w:spacing w:after="160" w:line="240" w:lineRule="exact"/>
    </w:pPr>
    <w:rPr>
      <w:rFonts w:ascii="Tahoma" w:eastAsia="Times New Roman" w:hAnsi="Tahoma"/>
      <w:sz w:val="20"/>
      <w:szCs w:val="20"/>
      <w:lang w:val="en-US"/>
    </w:rPr>
  </w:style>
  <w:style w:type="paragraph" w:customStyle="1" w:styleId="CM1">
    <w:name w:val="CM1"/>
    <w:basedOn w:val="Normal"/>
    <w:next w:val="Normal"/>
    <w:uiPriority w:val="99"/>
    <w:rsid w:val="00851C95"/>
    <w:pPr>
      <w:autoSpaceDE w:val="0"/>
      <w:autoSpaceDN w:val="0"/>
      <w:adjustRightInd w:val="0"/>
      <w:spacing w:after="0" w:line="240" w:lineRule="auto"/>
    </w:pPr>
    <w:rPr>
      <w:rFonts w:ascii="EUAlbertina" w:hAnsi="EUAlbertina"/>
      <w:sz w:val="24"/>
      <w:szCs w:val="24"/>
    </w:rPr>
  </w:style>
  <w:style w:type="paragraph" w:customStyle="1" w:styleId="CM3">
    <w:name w:val="CM3"/>
    <w:basedOn w:val="Normal"/>
    <w:next w:val="Normal"/>
    <w:uiPriority w:val="99"/>
    <w:rsid w:val="00851C95"/>
    <w:pPr>
      <w:autoSpaceDE w:val="0"/>
      <w:autoSpaceDN w:val="0"/>
      <w:adjustRightInd w:val="0"/>
      <w:spacing w:after="0" w:line="240" w:lineRule="auto"/>
    </w:pPr>
    <w:rPr>
      <w:rFonts w:ascii="EUAlbertina" w:hAnsi="EUAlbertina"/>
      <w:sz w:val="24"/>
      <w:szCs w:val="24"/>
    </w:rPr>
  </w:style>
  <w:style w:type="paragraph" w:customStyle="1" w:styleId="Revision1">
    <w:name w:val="Revision1"/>
    <w:next w:val="Revision"/>
    <w:hidden/>
    <w:uiPriority w:val="99"/>
    <w:semiHidden/>
    <w:rsid w:val="00851C95"/>
    <w:rPr>
      <w:sz w:val="22"/>
      <w:szCs w:val="22"/>
      <w:lang w:val="fr-FR" w:eastAsia="en-US"/>
    </w:rPr>
  </w:style>
  <w:style w:type="paragraph" w:styleId="Revision">
    <w:name w:val="Revision"/>
    <w:hidden/>
    <w:uiPriority w:val="99"/>
    <w:semiHidden/>
    <w:rsid w:val="00851C95"/>
    <w:rPr>
      <w:sz w:val="22"/>
      <w:szCs w:val="22"/>
      <w:lang w:eastAsia="en-US"/>
    </w:rPr>
  </w:style>
  <w:style w:type="paragraph" w:customStyle="1" w:styleId="Char1CharCharChar0">
    <w:name w:val="Char1 Char Char Char"/>
    <w:basedOn w:val="Normal"/>
    <w:rsid w:val="00851C95"/>
    <w:pPr>
      <w:spacing w:after="160" w:line="240" w:lineRule="exact"/>
    </w:pPr>
    <w:rPr>
      <w:rFonts w:ascii="Tahoma" w:eastAsia="Times New Roman" w:hAnsi="Tahoma"/>
      <w:sz w:val="20"/>
      <w:szCs w:val="20"/>
      <w:lang w:val="en-US"/>
    </w:rPr>
  </w:style>
  <w:style w:type="paragraph" w:customStyle="1" w:styleId="ZCom">
    <w:name w:val="Z_Com"/>
    <w:basedOn w:val="Normal"/>
    <w:next w:val="ZDGName"/>
    <w:rsid w:val="00851C95"/>
    <w:pPr>
      <w:widowControl w:val="0"/>
      <w:spacing w:after="0" w:line="240" w:lineRule="auto"/>
      <w:ind w:right="85"/>
      <w:jc w:val="both"/>
    </w:pPr>
    <w:rPr>
      <w:rFonts w:ascii="Arial" w:eastAsia="Times New Roman" w:hAnsi="Arial"/>
      <w:snapToGrid w:val="0"/>
      <w:sz w:val="24"/>
      <w:szCs w:val="20"/>
    </w:rPr>
  </w:style>
  <w:style w:type="paragraph" w:customStyle="1" w:styleId="ZDGName">
    <w:name w:val="Z_DGName"/>
    <w:basedOn w:val="Normal"/>
    <w:rsid w:val="00851C95"/>
    <w:pPr>
      <w:widowControl w:val="0"/>
      <w:spacing w:after="0" w:line="240" w:lineRule="auto"/>
      <w:ind w:right="85"/>
      <w:jc w:val="both"/>
    </w:pPr>
    <w:rPr>
      <w:rFonts w:ascii="Arial" w:eastAsia="Times New Roman" w:hAnsi="Arial"/>
      <w:snapToGrid w:val="0"/>
      <w:sz w:val="16"/>
      <w:szCs w:val="20"/>
    </w:rPr>
  </w:style>
  <w:style w:type="character" w:styleId="Emphasis">
    <w:name w:val="Emphasis"/>
    <w:uiPriority w:val="20"/>
    <w:qFormat/>
    <w:rsid w:val="00851C95"/>
    <w:rPr>
      <w:i/>
      <w:iCs/>
    </w:rPr>
  </w:style>
  <w:style w:type="paragraph" w:customStyle="1" w:styleId="Heading3contract">
    <w:name w:val="Heading 3 contract"/>
    <w:basedOn w:val="Normal"/>
    <w:link w:val="Heading3contractChar"/>
    <w:autoRedefine/>
    <w:qFormat/>
    <w:rsid w:val="00851C95"/>
    <w:pPr>
      <w:keepNext/>
      <w:spacing w:before="120" w:after="0" w:line="240" w:lineRule="auto"/>
      <w:ind w:left="709" w:hanging="709"/>
      <w:jc w:val="both"/>
    </w:pPr>
    <w:rPr>
      <w:rFonts w:ascii="Times New Roman" w:eastAsia="Times New Roman" w:hAnsi="Times New Roman"/>
      <w:b/>
      <w:sz w:val="24"/>
      <w:szCs w:val="24"/>
      <w:lang w:eastAsia="ko-KR"/>
    </w:rPr>
  </w:style>
  <w:style w:type="character" w:customStyle="1" w:styleId="Heading3contractChar">
    <w:name w:val="Heading 3 contract Char"/>
    <w:link w:val="Heading3contract"/>
    <w:rsid w:val="00851C95"/>
    <w:rPr>
      <w:rFonts w:ascii="Times New Roman" w:eastAsia="Times New Roman" w:hAnsi="Times New Roman" w:cs="Times New Roman"/>
      <w:b/>
      <w:sz w:val="24"/>
      <w:szCs w:val="24"/>
      <w:lang w:eastAsia="ko-KR"/>
    </w:rPr>
  </w:style>
  <w:style w:type="character" w:styleId="Hyperlink">
    <w:name w:val="Hyperlink"/>
    <w:uiPriority w:val="99"/>
    <w:unhideWhenUsed/>
    <w:rsid w:val="00851C95"/>
    <w:rPr>
      <w:color w:val="0000FF"/>
      <w:u w:val="single"/>
    </w:rPr>
  </w:style>
  <w:style w:type="character" w:styleId="FollowedHyperlink">
    <w:name w:val="FollowedHyperlink"/>
    <w:uiPriority w:val="99"/>
    <w:semiHidden/>
    <w:unhideWhenUsed/>
    <w:rsid w:val="00851C95"/>
    <w:rPr>
      <w:color w:val="800080"/>
      <w:u w:val="single"/>
    </w:rPr>
  </w:style>
  <w:style w:type="paragraph" w:styleId="Title">
    <w:name w:val="Title"/>
    <w:basedOn w:val="Normal"/>
    <w:link w:val="TitleChar"/>
    <w:uiPriority w:val="10"/>
    <w:qFormat/>
    <w:rsid w:val="00851C95"/>
    <w:pPr>
      <w:tabs>
        <w:tab w:val="left" w:pos="-1440"/>
        <w:tab w:val="left" w:pos="-720"/>
        <w:tab w:val="left" w:pos="828"/>
        <w:tab w:val="left" w:pos="1044"/>
        <w:tab w:val="left" w:pos="1260"/>
        <w:tab w:val="left" w:pos="1476"/>
        <w:tab w:val="left" w:pos="1692"/>
        <w:tab w:val="left" w:pos="2160"/>
      </w:tabs>
      <w:spacing w:after="0" w:line="240" w:lineRule="auto"/>
      <w:jc w:val="center"/>
    </w:pPr>
    <w:rPr>
      <w:rFonts w:ascii="Times New Roman" w:eastAsia="Times New Roman" w:hAnsi="Times New Roman"/>
      <w:b/>
      <w:bCs/>
      <w:snapToGrid w:val="0"/>
      <w:lang w:val="fr-FR" w:eastAsia="en-GB"/>
    </w:rPr>
  </w:style>
  <w:style w:type="character" w:customStyle="1" w:styleId="TitleChar">
    <w:name w:val="Title Char"/>
    <w:link w:val="Title"/>
    <w:uiPriority w:val="10"/>
    <w:rsid w:val="00851C95"/>
    <w:rPr>
      <w:rFonts w:ascii="Times New Roman" w:eastAsia="Times New Roman" w:hAnsi="Times New Roman" w:cs="Times New Roman"/>
      <w:b/>
      <w:bCs/>
      <w:snapToGrid w:val="0"/>
      <w:lang w:val="fr-FR" w:eastAsia="en-GB"/>
    </w:rPr>
  </w:style>
  <w:style w:type="paragraph" w:customStyle="1" w:styleId="CharCharChar">
    <w:name w:val="Char Char Char"/>
    <w:basedOn w:val="Normal"/>
    <w:rsid w:val="00851C95"/>
    <w:pPr>
      <w:spacing w:after="160" w:line="240" w:lineRule="exact"/>
    </w:pPr>
    <w:rPr>
      <w:rFonts w:ascii="Tahoma" w:eastAsia="Times New Roman" w:hAnsi="Tahoma"/>
      <w:sz w:val="20"/>
      <w:szCs w:val="20"/>
      <w:lang w:val="en-US"/>
    </w:rPr>
  </w:style>
  <w:style w:type="paragraph" w:customStyle="1" w:styleId="Char1CharCharCharCharCharChar">
    <w:name w:val="Char1 Char Char Char Char Char Char"/>
    <w:basedOn w:val="Normal"/>
    <w:rsid w:val="00851C95"/>
    <w:pPr>
      <w:spacing w:after="160" w:line="240" w:lineRule="exact"/>
    </w:pPr>
    <w:rPr>
      <w:rFonts w:ascii="Tahoma" w:eastAsia="Times New Roman" w:hAnsi="Tahoma"/>
      <w:sz w:val="20"/>
      <w:szCs w:val="20"/>
      <w:lang w:val="en-US"/>
    </w:rPr>
  </w:style>
  <w:style w:type="paragraph" w:customStyle="1" w:styleId="Default">
    <w:name w:val="Default"/>
    <w:rsid w:val="00851C95"/>
    <w:pPr>
      <w:autoSpaceDE w:val="0"/>
      <w:autoSpaceDN w:val="0"/>
      <w:adjustRightInd w:val="0"/>
      <w:spacing w:after="200" w:line="276" w:lineRule="auto"/>
      <w:jc w:val="both"/>
    </w:pPr>
    <w:rPr>
      <w:rFonts w:ascii="Times New Roman" w:eastAsia="Times New Roman" w:hAnsi="Times New Roman"/>
      <w:color w:val="000000"/>
      <w:sz w:val="24"/>
      <w:szCs w:val="24"/>
    </w:rPr>
  </w:style>
  <w:style w:type="paragraph" w:customStyle="1" w:styleId="Subarticle">
    <w:name w:val="Subarticle"/>
    <w:basedOn w:val="Normal"/>
    <w:link w:val="SubarticleChar"/>
    <w:rsid w:val="00851C95"/>
    <w:pPr>
      <w:spacing w:before="100" w:beforeAutospacing="1" w:after="0" w:afterAutospacing="1" w:line="240" w:lineRule="auto"/>
      <w:ind w:left="720" w:hanging="720"/>
      <w:jc w:val="both"/>
    </w:pPr>
    <w:rPr>
      <w:rFonts w:ascii="Times New Roman" w:eastAsia="Times New Roman" w:hAnsi="Times New Roman"/>
      <w:b/>
      <w:sz w:val="24"/>
      <w:szCs w:val="24"/>
      <w:lang w:eastAsia="en-GB"/>
    </w:rPr>
  </w:style>
  <w:style w:type="character" w:customStyle="1" w:styleId="SubarticleChar">
    <w:name w:val="Subarticle Char"/>
    <w:link w:val="Subarticle"/>
    <w:rsid w:val="00851C95"/>
    <w:rPr>
      <w:rFonts w:ascii="Times New Roman" w:eastAsia="Times New Roman" w:hAnsi="Times New Roman" w:cs="Times New Roman"/>
      <w:b/>
      <w:sz w:val="24"/>
      <w:szCs w:val="24"/>
      <w:lang w:eastAsia="en-GB"/>
    </w:rPr>
  </w:style>
  <w:style w:type="paragraph" w:customStyle="1" w:styleId="Article">
    <w:name w:val="Article"/>
    <w:basedOn w:val="Normal"/>
    <w:link w:val="ArticleChar"/>
    <w:rsid w:val="00851C95"/>
    <w:pPr>
      <w:spacing w:before="100" w:beforeAutospacing="1" w:after="0" w:afterAutospacing="1" w:line="240" w:lineRule="auto"/>
      <w:ind w:left="1871" w:hanging="1871"/>
      <w:jc w:val="both"/>
    </w:pPr>
    <w:rPr>
      <w:rFonts w:ascii="Times New Roman" w:eastAsia="Times New Roman" w:hAnsi="Times New Roman"/>
      <w:b/>
      <w:sz w:val="24"/>
      <w:szCs w:val="24"/>
      <w:lang w:eastAsia="en-GB"/>
    </w:rPr>
  </w:style>
  <w:style w:type="character" w:customStyle="1" w:styleId="ArticleChar">
    <w:name w:val="Article Char"/>
    <w:link w:val="Article"/>
    <w:rsid w:val="00851C95"/>
    <w:rPr>
      <w:rFonts w:ascii="Times New Roman" w:eastAsia="Times New Roman" w:hAnsi="Times New Roman" w:cs="Times New Roman"/>
      <w:b/>
      <w:sz w:val="24"/>
      <w:szCs w:val="24"/>
      <w:lang w:eastAsia="en-GB"/>
    </w:rPr>
  </w:style>
  <w:style w:type="paragraph" w:customStyle="1" w:styleId="Contact">
    <w:name w:val="Contact"/>
    <w:basedOn w:val="Normal"/>
    <w:next w:val="Normal"/>
    <w:rsid w:val="00851C95"/>
    <w:pPr>
      <w:spacing w:before="480" w:beforeAutospacing="1" w:after="0" w:afterAutospacing="1" w:line="240" w:lineRule="auto"/>
      <w:ind w:left="567" w:hanging="567"/>
    </w:pPr>
    <w:rPr>
      <w:rFonts w:ascii="Times New Roman" w:eastAsia="Times New Roman" w:hAnsi="Times New Roman"/>
      <w:sz w:val="24"/>
      <w:szCs w:val="20"/>
    </w:rPr>
  </w:style>
  <w:style w:type="paragraph" w:styleId="ListBullet">
    <w:name w:val="List Bullet"/>
    <w:basedOn w:val="Normal"/>
    <w:rsid w:val="00851C95"/>
    <w:pPr>
      <w:numPr>
        <w:numId w:val="2"/>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Bullet1">
    <w:name w:val="List Bullet 1"/>
    <w:basedOn w:val="Normal"/>
    <w:rsid w:val="00851C95"/>
    <w:pPr>
      <w:numPr>
        <w:numId w:val="3"/>
      </w:numPr>
      <w:spacing w:before="100" w:beforeAutospacing="1" w:after="100" w:afterAutospacing="1" w:line="240" w:lineRule="auto"/>
      <w:jc w:val="both"/>
    </w:pPr>
    <w:rPr>
      <w:rFonts w:ascii="Times New Roman" w:eastAsia="Times New Roman" w:hAnsi="Times New Roman"/>
      <w:b/>
      <w:sz w:val="24"/>
      <w:szCs w:val="20"/>
    </w:rPr>
  </w:style>
  <w:style w:type="paragraph" w:styleId="ListBullet2">
    <w:name w:val="List Bullet 2"/>
    <w:basedOn w:val="Normal"/>
    <w:rsid w:val="00851C95"/>
    <w:pPr>
      <w:numPr>
        <w:numId w:val="4"/>
      </w:numPr>
      <w:spacing w:before="100" w:beforeAutospacing="1" w:after="100" w:afterAutospacing="1" w:line="240" w:lineRule="auto"/>
      <w:jc w:val="both"/>
    </w:pPr>
    <w:rPr>
      <w:rFonts w:ascii="Times New Roman" w:eastAsia="Times New Roman" w:hAnsi="Times New Roman"/>
      <w:sz w:val="24"/>
      <w:szCs w:val="20"/>
    </w:rPr>
  </w:style>
  <w:style w:type="paragraph" w:styleId="ListBullet3">
    <w:name w:val="List Bullet 3"/>
    <w:basedOn w:val="Normal"/>
    <w:rsid w:val="00851C95"/>
    <w:pPr>
      <w:numPr>
        <w:numId w:val="5"/>
      </w:numPr>
      <w:spacing w:before="100" w:beforeAutospacing="1" w:after="100" w:afterAutospacing="1" w:line="240" w:lineRule="auto"/>
      <w:jc w:val="both"/>
    </w:pPr>
    <w:rPr>
      <w:rFonts w:ascii="Times New Roman" w:eastAsia="Times New Roman" w:hAnsi="Times New Roman"/>
      <w:sz w:val="24"/>
      <w:szCs w:val="20"/>
    </w:rPr>
  </w:style>
  <w:style w:type="paragraph" w:styleId="ListBullet4">
    <w:name w:val="List Bullet 4"/>
    <w:basedOn w:val="Normal"/>
    <w:rsid w:val="00851C95"/>
    <w:pPr>
      <w:numPr>
        <w:numId w:val="6"/>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Dash1">
    <w:name w:val="List Dash 1"/>
    <w:basedOn w:val="Normal"/>
    <w:rsid w:val="00851C95"/>
    <w:pPr>
      <w:numPr>
        <w:numId w:val="7"/>
      </w:numPr>
      <w:spacing w:before="100" w:beforeAutospacing="1" w:after="100" w:afterAutospacing="1" w:line="240" w:lineRule="auto"/>
      <w:jc w:val="both"/>
    </w:pPr>
    <w:rPr>
      <w:rFonts w:ascii="Times New Roman" w:eastAsia="Times New Roman" w:hAnsi="Times New Roman"/>
      <w:b/>
      <w:sz w:val="24"/>
      <w:szCs w:val="20"/>
    </w:rPr>
  </w:style>
  <w:style w:type="paragraph" w:customStyle="1" w:styleId="ListDash2">
    <w:name w:val="List Dash 2"/>
    <w:basedOn w:val="Normal"/>
    <w:rsid w:val="00851C95"/>
    <w:pPr>
      <w:numPr>
        <w:numId w:val="8"/>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Dash3">
    <w:name w:val="List Dash 3"/>
    <w:basedOn w:val="Normal"/>
    <w:link w:val="ListDash3Char"/>
    <w:rsid w:val="00851C95"/>
    <w:pPr>
      <w:numPr>
        <w:numId w:val="9"/>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Dash4">
    <w:name w:val="List Dash 4"/>
    <w:basedOn w:val="Normal"/>
    <w:rsid w:val="00851C95"/>
    <w:pPr>
      <w:numPr>
        <w:numId w:val="10"/>
      </w:numPr>
      <w:spacing w:before="100" w:beforeAutospacing="1" w:after="100" w:afterAutospacing="1" w:line="240" w:lineRule="auto"/>
      <w:jc w:val="both"/>
    </w:pPr>
    <w:rPr>
      <w:rFonts w:ascii="Times New Roman" w:eastAsia="Times New Roman" w:hAnsi="Times New Roman"/>
      <w:sz w:val="24"/>
      <w:szCs w:val="20"/>
    </w:rPr>
  </w:style>
  <w:style w:type="paragraph" w:styleId="ListNumber">
    <w:name w:val="List Number"/>
    <w:basedOn w:val="Normal"/>
    <w:rsid w:val="00851C95"/>
    <w:pPr>
      <w:numPr>
        <w:numId w:val="11"/>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1">
    <w:name w:val="List Number 1"/>
    <w:basedOn w:val="Normal"/>
    <w:rsid w:val="00851C95"/>
    <w:pPr>
      <w:numPr>
        <w:numId w:val="12"/>
      </w:numPr>
      <w:spacing w:before="100" w:beforeAutospacing="1" w:after="100" w:afterAutospacing="1" w:line="240" w:lineRule="auto"/>
      <w:jc w:val="both"/>
    </w:pPr>
    <w:rPr>
      <w:rFonts w:ascii="Times New Roman" w:eastAsia="Times New Roman" w:hAnsi="Times New Roman"/>
      <w:b/>
      <w:sz w:val="24"/>
      <w:szCs w:val="20"/>
    </w:rPr>
  </w:style>
  <w:style w:type="paragraph" w:styleId="ListNumber2">
    <w:name w:val="List Number 2"/>
    <w:basedOn w:val="Normal"/>
    <w:rsid w:val="00851C95"/>
    <w:pPr>
      <w:numPr>
        <w:numId w:val="13"/>
      </w:numPr>
      <w:spacing w:before="100" w:beforeAutospacing="1" w:after="100" w:afterAutospacing="1" w:line="240" w:lineRule="auto"/>
      <w:jc w:val="both"/>
    </w:pPr>
    <w:rPr>
      <w:rFonts w:ascii="Times New Roman" w:eastAsia="Times New Roman" w:hAnsi="Times New Roman"/>
      <w:sz w:val="24"/>
      <w:szCs w:val="20"/>
    </w:rPr>
  </w:style>
  <w:style w:type="paragraph" w:styleId="ListNumber3">
    <w:name w:val="List Number 3"/>
    <w:basedOn w:val="Normal"/>
    <w:rsid w:val="00851C95"/>
    <w:pPr>
      <w:numPr>
        <w:numId w:val="14"/>
      </w:numPr>
      <w:spacing w:before="100" w:beforeAutospacing="1" w:after="100" w:afterAutospacing="1" w:line="240" w:lineRule="auto"/>
      <w:jc w:val="both"/>
    </w:pPr>
    <w:rPr>
      <w:rFonts w:ascii="Times New Roman" w:eastAsia="Times New Roman" w:hAnsi="Times New Roman"/>
      <w:sz w:val="24"/>
      <w:szCs w:val="20"/>
    </w:rPr>
  </w:style>
  <w:style w:type="paragraph" w:styleId="ListNumber4">
    <w:name w:val="List Number 4"/>
    <w:basedOn w:val="Normal"/>
    <w:rsid w:val="00851C95"/>
    <w:pPr>
      <w:numPr>
        <w:numId w:val="15"/>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Level2">
    <w:name w:val="List Number (Level 2)"/>
    <w:basedOn w:val="Normal"/>
    <w:rsid w:val="00851C95"/>
    <w:pPr>
      <w:numPr>
        <w:ilvl w:val="1"/>
        <w:numId w:val="11"/>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1Level2">
    <w:name w:val="List Number 1 (Level 2)"/>
    <w:basedOn w:val="Normal"/>
    <w:rsid w:val="00851C95"/>
    <w:pPr>
      <w:numPr>
        <w:ilvl w:val="1"/>
        <w:numId w:val="12"/>
      </w:numPr>
      <w:spacing w:before="100" w:beforeAutospacing="1" w:after="100" w:afterAutospacing="1" w:line="240" w:lineRule="auto"/>
      <w:jc w:val="both"/>
    </w:pPr>
    <w:rPr>
      <w:rFonts w:ascii="Times New Roman" w:eastAsia="Times New Roman" w:hAnsi="Times New Roman"/>
      <w:b/>
      <w:sz w:val="24"/>
      <w:szCs w:val="20"/>
    </w:rPr>
  </w:style>
  <w:style w:type="paragraph" w:customStyle="1" w:styleId="ListNumber2Level2">
    <w:name w:val="List Number 2 (Level 2)"/>
    <w:basedOn w:val="Normal"/>
    <w:rsid w:val="00851C95"/>
    <w:pPr>
      <w:numPr>
        <w:ilvl w:val="1"/>
        <w:numId w:val="13"/>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3Level2">
    <w:name w:val="List Number 3 (Level 2)"/>
    <w:basedOn w:val="Normal"/>
    <w:rsid w:val="00851C95"/>
    <w:pPr>
      <w:numPr>
        <w:ilvl w:val="1"/>
        <w:numId w:val="14"/>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4Level2">
    <w:name w:val="List Number 4 (Level 2)"/>
    <w:basedOn w:val="Normal"/>
    <w:rsid w:val="00851C95"/>
    <w:pPr>
      <w:numPr>
        <w:ilvl w:val="1"/>
        <w:numId w:val="15"/>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Level3">
    <w:name w:val="List Number (Level 3)"/>
    <w:basedOn w:val="Normal"/>
    <w:rsid w:val="00851C95"/>
    <w:pPr>
      <w:numPr>
        <w:ilvl w:val="2"/>
        <w:numId w:val="11"/>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1Level3">
    <w:name w:val="List Number 1 (Level 3)"/>
    <w:basedOn w:val="Normal"/>
    <w:rsid w:val="00851C95"/>
    <w:pPr>
      <w:numPr>
        <w:ilvl w:val="2"/>
        <w:numId w:val="12"/>
      </w:numPr>
      <w:spacing w:before="100" w:beforeAutospacing="1" w:after="100" w:afterAutospacing="1" w:line="240" w:lineRule="auto"/>
      <w:jc w:val="both"/>
    </w:pPr>
    <w:rPr>
      <w:rFonts w:ascii="Times New Roman" w:eastAsia="Times New Roman" w:hAnsi="Times New Roman"/>
      <w:b/>
      <w:sz w:val="24"/>
      <w:szCs w:val="20"/>
    </w:rPr>
  </w:style>
  <w:style w:type="paragraph" w:customStyle="1" w:styleId="ListNumber2Level3">
    <w:name w:val="List Number 2 (Level 3)"/>
    <w:basedOn w:val="Normal"/>
    <w:rsid w:val="00851C95"/>
    <w:pPr>
      <w:numPr>
        <w:ilvl w:val="2"/>
        <w:numId w:val="13"/>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3Level3">
    <w:name w:val="List Number 3 (Level 3)"/>
    <w:basedOn w:val="Normal"/>
    <w:rsid w:val="00851C95"/>
    <w:pPr>
      <w:numPr>
        <w:ilvl w:val="2"/>
        <w:numId w:val="14"/>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4Level3">
    <w:name w:val="List Number 4 (Level 3)"/>
    <w:basedOn w:val="Normal"/>
    <w:rsid w:val="00851C95"/>
    <w:pPr>
      <w:numPr>
        <w:ilvl w:val="2"/>
        <w:numId w:val="15"/>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Level4">
    <w:name w:val="List Number (Level 4)"/>
    <w:basedOn w:val="Normal"/>
    <w:rsid w:val="00851C95"/>
    <w:pPr>
      <w:numPr>
        <w:ilvl w:val="3"/>
        <w:numId w:val="11"/>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1Level4">
    <w:name w:val="List Number 1 (Level 4)"/>
    <w:basedOn w:val="Normal"/>
    <w:rsid w:val="00851C95"/>
    <w:pPr>
      <w:numPr>
        <w:ilvl w:val="3"/>
        <w:numId w:val="12"/>
      </w:numPr>
      <w:spacing w:before="100" w:beforeAutospacing="1" w:after="100" w:afterAutospacing="1" w:line="240" w:lineRule="auto"/>
      <w:jc w:val="both"/>
    </w:pPr>
    <w:rPr>
      <w:rFonts w:ascii="Times New Roman" w:eastAsia="Times New Roman" w:hAnsi="Times New Roman"/>
      <w:b/>
      <w:sz w:val="24"/>
      <w:szCs w:val="20"/>
    </w:rPr>
  </w:style>
  <w:style w:type="paragraph" w:customStyle="1" w:styleId="ListNumber2Level4">
    <w:name w:val="List Number 2 (Level 4)"/>
    <w:basedOn w:val="Normal"/>
    <w:rsid w:val="00851C95"/>
    <w:pPr>
      <w:numPr>
        <w:ilvl w:val="3"/>
        <w:numId w:val="13"/>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3Level4">
    <w:name w:val="List Number 3 (Level 4)"/>
    <w:basedOn w:val="Normal"/>
    <w:rsid w:val="00851C95"/>
    <w:pPr>
      <w:numPr>
        <w:ilvl w:val="3"/>
        <w:numId w:val="14"/>
      </w:numPr>
      <w:spacing w:before="100" w:beforeAutospacing="1" w:after="100" w:afterAutospacing="1" w:line="240" w:lineRule="auto"/>
      <w:jc w:val="both"/>
    </w:pPr>
    <w:rPr>
      <w:rFonts w:ascii="Times New Roman" w:eastAsia="Times New Roman" w:hAnsi="Times New Roman"/>
      <w:sz w:val="24"/>
      <w:szCs w:val="20"/>
    </w:rPr>
  </w:style>
  <w:style w:type="paragraph" w:customStyle="1" w:styleId="ListNumber4Level4">
    <w:name w:val="List Number 4 (Level 4)"/>
    <w:basedOn w:val="Normal"/>
    <w:rsid w:val="00851C95"/>
    <w:pPr>
      <w:numPr>
        <w:ilvl w:val="3"/>
        <w:numId w:val="15"/>
      </w:numPr>
      <w:spacing w:before="100" w:beforeAutospacing="1" w:after="100" w:afterAutospacing="1" w:line="240" w:lineRule="auto"/>
      <w:jc w:val="both"/>
    </w:pPr>
    <w:rPr>
      <w:rFonts w:ascii="Times New Roman" w:eastAsia="Times New Roman" w:hAnsi="Times New Roman"/>
      <w:sz w:val="24"/>
      <w:szCs w:val="20"/>
    </w:rPr>
  </w:style>
  <w:style w:type="paragraph" w:styleId="TOC5">
    <w:name w:val="toc 5"/>
    <w:basedOn w:val="Normal"/>
    <w:next w:val="Normal"/>
    <w:uiPriority w:val="39"/>
    <w:rsid w:val="00851C95"/>
    <w:pPr>
      <w:tabs>
        <w:tab w:val="right" w:leader="dot" w:pos="8641"/>
      </w:tabs>
      <w:spacing w:before="240" w:beforeAutospacing="1" w:after="120" w:afterAutospacing="1" w:line="240" w:lineRule="auto"/>
      <w:ind w:right="720"/>
      <w:jc w:val="both"/>
    </w:pPr>
    <w:rPr>
      <w:rFonts w:ascii="Times New Roman" w:eastAsia="Times New Roman" w:hAnsi="Times New Roman"/>
      <w:caps/>
      <w:sz w:val="24"/>
      <w:szCs w:val="20"/>
    </w:rPr>
  </w:style>
  <w:style w:type="paragraph" w:styleId="TOCHeading">
    <w:name w:val="TOC Heading"/>
    <w:basedOn w:val="Normal"/>
    <w:next w:val="Normal"/>
    <w:uiPriority w:val="39"/>
    <w:qFormat/>
    <w:rsid w:val="00851C95"/>
    <w:pPr>
      <w:keepNext/>
      <w:spacing w:before="240" w:beforeAutospacing="1" w:after="100" w:afterAutospacing="1" w:line="240" w:lineRule="auto"/>
      <w:jc w:val="center"/>
    </w:pPr>
    <w:rPr>
      <w:rFonts w:ascii="Times New Roman" w:eastAsia="Times New Roman" w:hAnsi="Times New Roman"/>
      <w:b/>
      <w:sz w:val="24"/>
      <w:szCs w:val="20"/>
    </w:rPr>
  </w:style>
  <w:style w:type="paragraph" w:styleId="TOC1">
    <w:name w:val="toc 1"/>
    <w:basedOn w:val="Normal"/>
    <w:next w:val="Normal"/>
    <w:uiPriority w:val="39"/>
    <w:rsid w:val="00851C95"/>
    <w:pPr>
      <w:tabs>
        <w:tab w:val="right" w:leader="dot" w:pos="8640"/>
      </w:tabs>
      <w:spacing w:before="120" w:beforeAutospacing="1" w:after="120" w:afterAutospacing="1" w:line="240" w:lineRule="auto"/>
      <w:ind w:left="482" w:right="720" w:hanging="482"/>
      <w:jc w:val="both"/>
    </w:pPr>
    <w:rPr>
      <w:rFonts w:ascii="Times New Roman" w:eastAsia="Times New Roman" w:hAnsi="Times New Roman"/>
      <w:b/>
      <w:caps/>
      <w:sz w:val="24"/>
      <w:szCs w:val="20"/>
    </w:rPr>
  </w:style>
  <w:style w:type="paragraph" w:styleId="TOC2">
    <w:name w:val="toc 2"/>
    <w:basedOn w:val="Normal"/>
    <w:next w:val="Normal"/>
    <w:uiPriority w:val="39"/>
    <w:rsid w:val="00851C95"/>
    <w:pPr>
      <w:tabs>
        <w:tab w:val="right" w:leader="dot" w:pos="8640"/>
      </w:tabs>
      <w:spacing w:before="60" w:beforeAutospacing="1" w:after="60" w:afterAutospacing="1" w:line="240" w:lineRule="auto"/>
      <w:ind w:left="1077" w:right="720" w:hanging="595"/>
      <w:jc w:val="both"/>
    </w:pPr>
    <w:rPr>
      <w:rFonts w:ascii="Times New Roman" w:eastAsia="Times New Roman" w:hAnsi="Times New Roman"/>
      <w:sz w:val="24"/>
      <w:szCs w:val="20"/>
    </w:rPr>
  </w:style>
  <w:style w:type="paragraph" w:styleId="TOC3">
    <w:name w:val="toc 3"/>
    <w:basedOn w:val="Normal"/>
    <w:next w:val="Normal"/>
    <w:uiPriority w:val="39"/>
    <w:rsid w:val="00851C95"/>
    <w:pPr>
      <w:tabs>
        <w:tab w:val="right" w:leader="dot" w:pos="8640"/>
      </w:tabs>
      <w:spacing w:before="60" w:beforeAutospacing="1" w:after="60" w:afterAutospacing="1" w:line="240" w:lineRule="auto"/>
      <w:ind w:left="1916" w:right="720" w:hanging="839"/>
      <w:jc w:val="both"/>
    </w:pPr>
    <w:rPr>
      <w:rFonts w:ascii="Times New Roman" w:eastAsia="Times New Roman" w:hAnsi="Times New Roman"/>
      <w:sz w:val="24"/>
      <w:szCs w:val="20"/>
    </w:rPr>
  </w:style>
  <w:style w:type="paragraph" w:styleId="TOC4">
    <w:name w:val="toc 4"/>
    <w:basedOn w:val="Normal"/>
    <w:next w:val="Normal"/>
    <w:uiPriority w:val="39"/>
    <w:rsid w:val="00851C95"/>
    <w:pPr>
      <w:tabs>
        <w:tab w:val="right" w:leader="dot" w:pos="8641"/>
      </w:tabs>
      <w:spacing w:before="60" w:beforeAutospacing="1" w:after="60" w:afterAutospacing="1" w:line="240" w:lineRule="auto"/>
      <w:ind w:left="2880" w:right="720" w:hanging="964"/>
      <w:jc w:val="both"/>
    </w:pPr>
    <w:rPr>
      <w:rFonts w:ascii="Times New Roman" w:eastAsia="Times New Roman" w:hAnsi="Times New Roman"/>
      <w:sz w:val="24"/>
      <w:szCs w:val="20"/>
    </w:rPr>
  </w:style>
  <w:style w:type="paragraph" w:styleId="TOC6">
    <w:name w:val="toc 6"/>
    <w:basedOn w:val="Normal"/>
    <w:next w:val="Normal"/>
    <w:autoRedefine/>
    <w:uiPriority w:val="39"/>
    <w:unhideWhenUsed/>
    <w:rsid w:val="00851C95"/>
    <w:pPr>
      <w:spacing w:before="100" w:beforeAutospacing="1" w:after="100" w:afterAutospacing="1" w:line="240" w:lineRule="auto"/>
      <w:ind w:left="1100"/>
      <w:jc w:val="both"/>
    </w:pPr>
    <w:rPr>
      <w:rFonts w:eastAsia="Times New Roman"/>
      <w:sz w:val="24"/>
      <w:szCs w:val="20"/>
      <w:lang w:eastAsia="en-GB"/>
    </w:rPr>
  </w:style>
  <w:style w:type="paragraph" w:styleId="TOC7">
    <w:name w:val="toc 7"/>
    <w:basedOn w:val="Normal"/>
    <w:next w:val="Normal"/>
    <w:autoRedefine/>
    <w:uiPriority w:val="39"/>
    <w:unhideWhenUsed/>
    <w:rsid w:val="00851C95"/>
    <w:pPr>
      <w:spacing w:before="100" w:beforeAutospacing="1" w:after="100" w:afterAutospacing="1" w:line="240" w:lineRule="auto"/>
      <w:ind w:left="1320"/>
      <w:jc w:val="both"/>
    </w:pPr>
    <w:rPr>
      <w:rFonts w:eastAsia="Times New Roman"/>
      <w:sz w:val="24"/>
      <w:szCs w:val="20"/>
      <w:lang w:eastAsia="en-GB"/>
    </w:rPr>
  </w:style>
  <w:style w:type="paragraph" w:styleId="TOC8">
    <w:name w:val="toc 8"/>
    <w:basedOn w:val="Normal"/>
    <w:next w:val="Normal"/>
    <w:autoRedefine/>
    <w:uiPriority w:val="39"/>
    <w:unhideWhenUsed/>
    <w:rsid w:val="00851C95"/>
    <w:pPr>
      <w:spacing w:before="100" w:beforeAutospacing="1" w:after="100" w:afterAutospacing="1" w:line="240" w:lineRule="auto"/>
      <w:ind w:left="1540"/>
      <w:jc w:val="both"/>
    </w:pPr>
    <w:rPr>
      <w:rFonts w:eastAsia="Times New Roman"/>
      <w:sz w:val="24"/>
      <w:szCs w:val="20"/>
      <w:lang w:eastAsia="en-GB"/>
    </w:rPr>
  </w:style>
  <w:style w:type="paragraph" w:styleId="TOC9">
    <w:name w:val="toc 9"/>
    <w:basedOn w:val="Normal"/>
    <w:next w:val="Normal"/>
    <w:autoRedefine/>
    <w:uiPriority w:val="39"/>
    <w:unhideWhenUsed/>
    <w:rsid w:val="00851C95"/>
    <w:pPr>
      <w:spacing w:before="100" w:beforeAutospacing="1" w:after="100" w:afterAutospacing="1" w:line="240" w:lineRule="auto"/>
      <w:ind w:left="1760"/>
      <w:jc w:val="both"/>
    </w:pPr>
    <w:rPr>
      <w:rFonts w:eastAsia="Times New Roman"/>
      <w:sz w:val="24"/>
      <w:szCs w:val="20"/>
      <w:lang w:eastAsia="en-GB"/>
    </w:rPr>
  </w:style>
  <w:style w:type="paragraph" w:styleId="Caption">
    <w:name w:val="caption"/>
    <w:basedOn w:val="Normal"/>
    <w:next w:val="Normal"/>
    <w:uiPriority w:val="35"/>
    <w:semiHidden/>
    <w:unhideWhenUsed/>
    <w:qFormat/>
    <w:rsid w:val="00851C95"/>
    <w:pPr>
      <w:spacing w:before="100" w:beforeAutospacing="1" w:after="100" w:afterAutospacing="1" w:line="240" w:lineRule="auto"/>
      <w:jc w:val="both"/>
    </w:pPr>
    <w:rPr>
      <w:rFonts w:ascii="Times New Roman" w:eastAsia="Times New Roman" w:hAnsi="Times New Roman"/>
      <w:b/>
      <w:bCs/>
      <w:caps/>
      <w:sz w:val="16"/>
      <w:szCs w:val="18"/>
      <w:lang w:eastAsia="en-GB"/>
    </w:rPr>
  </w:style>
  <w:style w:type="paragraph" w:styleId="Subtitle">
    <w:name w:val="Subtitle"/>
    <w:basedOn w:val="Normal"/>
    <w:next w:val="Normal"/>
    <w:link w:val="SubtitleChar"/>
    <w:uiPriority w:val="11"/>
    <w:rsid w:val="00851C95"/>
    <w:pPr>
      <w:spacing w:before="100" w:beforeAutospacing="1" w:after="720" w:afterAutospacing="1" w:line="240" w:lineRule="auto"/>
      <w:jc w:val="right"/>
    </w:pPr>
    <w:rPr>
      <w:rFonts w:ascii="Cambria" w:eastAsia="Times New Roman" w:hAnsi="Cambria"/>
      <w:sz w:val="24"/>
      <w:lang w:eastAsia="en-GB"/>
    </w:rPr>
  </w:style>
  <w:style w:type="character" w:customStyle="1" w:styleId="SubtitleChar">
    <w:name w:val="Subtitle Char"/>
    <w:link w:val="Subtitle"/>
    <w:uiPriority w:val="11"/>
    <w:rsid w:val="00851C95"/>
    <w:rPr>
      <w:rFonts w:ascii="Cambria" w:eastAsia="Times New Roman" w:hAnsi="Cambria" w:cs="Times New Roman"/>
      <w:sz w:val="24"/>
      <w:lang w:eastAsia="en-GB"/>
    </w:rPr>
  </w:style>
  <w:style w:type="character" w:styleId="Strong">
    <w:name w:val="Strong"/>
    <w:uiPriority w:val="22"/>
    <w:qFormat/>
    <w:rsid w:val="00851C95"/>
    <w:rPr>
      <w:b/>
      <w:color w:val="C0504D"/>
    </w:rPr>
  </w:style>
  <w:style w:type="paragraph" w:styleId="NoSpacing">
    <w:name w:val="No Spacing"/>
    <w:basedOn w:val="Normal"/>
    <w:link w:val="NoSpacingChar"/>
    <w:uiPriority w:val="1"/>
    <w:qFormat/>
    <w:rsid w:val="00851C95"/>
    <w:pPr>
      <w:spacing w:before="100" w:beforeAutospacing="1" w:after="0" w:afterAutospacing="1" w:line="240" w:lineRule="auto"/>
      <w:jc w:val="both"/>
    </w:pPr>
    <w:rPr>
      <w:rFonts w:ascii="Times New Roman" w:eastAsia="Times New Roman" w:hAnsi="Times New Roman"/>
      <w:sz w:val="24"/>
      <w:szCs w:val="20"/>
      <w:lang w:eastAsia="en-GB"/>
    </w:rPr>
  </w:style>
  <w:style w:type="character" w:customStyle="1" w:styleId="NoSpacingChar">
    <w:name w:val="No Spacing Char"/>
    <w:link w:val="NoSpacing"/>
    <w:uiPriority w:val="1"/>
    <w:rsid w:val="00851C95"/>
    <w:rPr>
      <w:rFonts w:ascii="Times New Roman" w:eastAsia="Times New Roman" w:hAnsi="Times New Roman" w:cs="Times New Roman"/>
      <w:sz w:val="24"/>
      <w:szCs w:val="20"/>
      <w:lang w:eastAsia="en-GB"/>
    </w:rPr>
  </w:style>
  <w:style w:type="paragraph" w:styleId="Quote">
    <w:name w:val="Quote"/>
    <w:basedOn w:val="Normal"/>
    <w:next w:val="Normal"/>
    <w:link w:val="QuoteChar"/>
    <w:uiPriority w:val="29"/>
    <w:rsid w:val="00851C95"/>
    <w:pPr>
      <w:spacing w:before="100" w:beforeAutospacing="1" w:after="100" w:afterAutospacing="1" w:line="240" w:lineRule="auto"/>
      <w:jc w:val="both"/>
    </w:pPr>
    <w:rPr>
      <w:rFonts w:ascii="Times New Roman" w:eastAsia="Times New Roman" w:hAnsi="Times New Roman"/>
      <w:i/>
      <w:sz w:val="24"/>
      <w:szCs w:val="20"/>
      <w:lang w:eastAsia="en-GB"/>
    </w:rPr>
  </w:style>
  <w:style w:type="character" w:customStyle="1" w:styleId="QuoteChar">
    <w:name w:val="Quote Char"/>
    <w:link w:val="Quote"/>
    <w:uiPriority w:val="29"/>
    <w:rsid w:val="00851C95"/>
    <w:rPr>
      <w:rFonts w:ascii="Times New Roman" w:eastAsia="Times New Roman" w:hAnsi="Times New Roman" w:cs="Times New Roman"/>
      <w:i/>
      <w:sz w:val="24"/>
      <w:szCs w:val="20"/>
      <w:lang w:eastAsia="en-GB"/>
    </w:rPr>
  </w:style>
  <w:style w:type="paragraph" w:styleId="IntenseQuote">
    <w:name w:val="Intense Quote"/>
    <w:basedOn w:val="Normal"/>
    <w:next w:val="Normal"/>
    <w:link w:val="IntenseQuoteChar"/>
    <w:uiPriority w:val="30"/>
    <w:rsid w:val="00851C95"/>
    <w:pPr>
      <w:pBdr>
        <w:top w:val="single" w:sz="8" w:space="10" w:color="943634"/>
        <w:left w:val="single" w:sz="8" w:space="10" w:color="943634"/>
        <w:bottom w:val="single" w:sz="8" w:space="10" w:color="943634"/>
        <w:right w:val="single" w:sz="8" w:space="10" w:color="943634"/>
      </w:pBdr>
      <w:shd w:val="clear" w:color="auto" w:fill="C0504D"/>
      <w:spacing w:before="140" w:beforeAutospacing="1" w:after="140" w:afterAutospacing="1" w:line="240" w:lineRule="auto"/>
      <w:ind w:left="1440" w:right="1440"/>
      <w:jc w:val="both"/>
    </w:pPr>
    <w:rPr>
      <w:rFonts w:ascii="Times New Roman" w:eastAsia="Times New Roman" w:hAnsi="Times New Roman"/>
      <w:b/>
      <w:i/>
      <w:color w:val="FFFFFF"/>
      <w:sz w:val="24"/>
      <w:szCs w:val="20"/>
      <w:lang w:eastAsia="en-GB"/>
    </w:rPr>
  </w:style>
  <w:style w:type="character" w:customStyle="1" w:styleId="IntenseQuoteChar">
    <w:name w:val="Intense Quote Char"/>
    <w:link w:val="IntenseQuote"/>
    <w:uiPriority w:val="30"/>
    <w:rsid w:val="00851C95"/>
    <w:rPr>
      <w:rFonts w:ascii="Times New Roman" w:eastAsia="Times New Roman" w:hAnsi="Times New Roman" w:cs="Times New Roman"/>
      <w:b/>
      <w:i/>
      <w:color w:val="FFFFFF"/>
      <w:sz w:val="24"/>
      <w:szCs w:val="20"/>
      <w:shd w:val="clear" w:color="auto" w:fill="C0504D"/>
      <w:lang w:eastAsia="en-GB"/>
    </w:rPr>
  </w:style>
  <w:style w:type="character" w:styleId="SubtleEmphasis">
    <w:name w:val="Subtle Emphasis"/>
    <w:uiPriority w:val="19"/>
    <w:rsid w:val="00851C95"/>
    <w:rPr>
      <w:i/>
    </w:rPr>
  </w:style>
  <w:style w:type="character" w:styleId="IntenseEmphasis">
    <w:name w:val="Intense Emphasis"/>
    <w:uiPriority w:val="21"/>
    <w:rsid w:val="00851C95"/>
    <w:rPr>
      <w:b/>
      <w:i/>
      <w:color w:val="C0504D"/>
      <w:spacing w:val="10"/>
    </w:rPr>
  </w:style>
  <w:style w:type="character" w:styleId="SubtleReference">
    <w:name w:val="Subtle Reference"/>
    <w:uiPriority w:val="31"/>
    <w:rsid w:val="00851C95"/>
    <w:rPr>
      <w:b/>
    </w:rPr>
  </w:style>
  <w:style w:type="character" w:styleId="IntenseReference">
    <w:name w:val="Intense Reference"/>
    <w:uiPriority w:val="32"/>
    <w:rsid w:val="00851C95"/>
    <w:rPr>
      <w:b/>
      <w:bCs/>
      <w:smallCaps/>
      <w:spacing w:val="5"/>
      <w:sz w:val="22"/>
      <w:szCs w:val="22"/>
      <w:u w:val="single"/>
    </w:rPr>
  </w:style>
  <w:style w:type="character" w:styleId="BookTitle">
    <w:name w:val="Book Title"/>
    <w:uiPriority w:val="33"/>
    <w:rsid w:val="00851C95"/>
    <w:rPr>
      <w:rFonts w:ascii="Cambria" w:eastAsia="Times New Roman" w:hAnsi="Cambria" w:cs="Times New Roman"/>
      <w:i/>
      <w:iCs/>
      <w:sz w:val="20"/>
      <w:szCs w:val="20"/>
    </w:rPr>
  </w:style>
  <w:style w:type="table" w:styleId="TableGrid">
    <w:name w:val="Table Grid"/>
    <w:basedOn w:val="TableNormal"/>
    <w:uiPriority w:val="59"/>
    <w:rsid w:val="00851C9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851C95"/>
    <w:pPr>
      <w:spacing w:before="240" w:after="120" w:line="240" w:lineRule="auto"/>
      <w:jc w:val="center"/>
    </w:pPr>
    <w:rPr>
      <w:rFonts w:ascii="Times New Roman" w:eastAsia="Times New Roman" w:hAnsi="Times New Roman"/>
      <w:b/>
      <w:bCs/>
      <w:sz w:val="24"/>
      <w:szCs w:val="24"/>
      <w:lang w:eastAsia="en-GB"/>
    </w:rPr>
  </w:style>
  <w:style w:type="character" w:customStyle="1" w:styleId="ListDash3Char">
    <w:name w:val="List Dash 3 Char"/>
    <w:link w:val="ListDash3"/>
    <w:rsid w:val="00851C95"/>
    <w:rPr>
      <w:rFonts w:ascii="Times New Roman" w:eastAsia="Times New Roman" w:hAnsi="Times New Roman" w:cs="Times New Roman"/>
      <w:sz w:val="24"/>
      <w:szCs w:val="20"/>
    </w:rPr>
  </w:style>
  <w:style w:type="paragraph" w:customStyle="1" w:styleId="1">
    <w:name w:val="1"/>
    <w:basedOn w:val="Normal"/>
    <w:link w:val="FootnoteReference"/>
    <w:uiPriority w:val="99"/>
    <w:qFormat/>
    <w:rsid w:val="002B19F1"/>
    <w:pPr>
      <w:spacing w:after="160" w:line="240" w:lineRule="exact"/>
    </w:pPr>
    <w:rPr>
      <w:sz w:val="20"/>
      <w:szCs w:val="20"/>
      <w:vertAlign w:val="superscript"/>
      <w:lang w:eastAsia="en-GB"/>
    </w:rPr>
  </w:style>
  <w:style w:type="paragraph" w:styleId="EndnoteText">
    <w:name w:val="endnote text"/>
    <w:basedOn w:val="Normal"/>
    <w:link w:val="EndnoteTextChar"/>
    <w:uiPriority w:val="99"/>
    <w:semiHidden/>
    <w:unhideWhenUsed/>
    <w:rsid w:val="00DF48E8"/>
    <w:rPr>
      <w:sz w:val="20"/>
      <w:szCs w:val="20"/>
    </w:rPr>
  </w:style>
  <w:style w:type="character" w:customStyle="1" w:styleId="EndnoteTextChar">
    <w:name w:val="Endnote Text Char"/>
    <w:link w:val="EndnoteText"/>
    <w:uiPriority w:val="99"/>
    <w:semiHidden/>
    <w:rsid w:val="00DF48E8"/>
    <w:rPr>
      <w:lang w:eastAsia="en-US"/>
    </w:rPr>
  </w:style>
  <w:style w:type="character" w:styleId="EndnoteReference">
    <w:name w:val="endnote reference"/>
    <w:uiPriority w:val="99"/>
    <w:semiHidden/>
    <w:unhideWhenUsed/>
    <w:rsid w:val="00DF48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79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D0A77-D752-47FB-BA60-E4156AB27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36</Pages>
  <Words>13396</Words>
  <Characters>76361</Characters>
  <Application>Microsoft Office Word</Application>
  <DocSecurity>0</DocSecurity>
  <Lines>636</Lines>
  <Paragraphs>179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European Commission</Company>
  <LinksUpToDate>false</LinksUpToDate>
  <CharactersWithSpaces>89578</CharactersWithSpaces>
  <SharedDoc>false</SharedDoc>
  <HLinks>
    <vt:vector size="432" baseType="variant">
      <vt:variant>
        <vt:i4>1048632</vt:i4>
      </vt:variant>
      <vt:variant>
        <vt:i4>420</vt:i4>
      </vt:variant>
      <vt:variant>
        <vt:i4>0</vt:i4>
      </vt:variant>
      <vt:variant>
        <vt:i4>5</vt:i4>
      </vt:variant>
      <vt:variant>
        <vt:lpwstr/>
      </vt:variant>
      <vt:variant>
        <vt:lpwstr>_Toc446535933</vt:lpwstr>
      </vt:variant>
      <vt:variant>
        <vt:i4>1048632</vt:i4>
      </vt:variant>
      <vt:variant>
        <vt:i4>414</vt:i4>
      </vt:variant>
      <vt:variant>
        <vt:i4>0</vt:i4>
      </vt:variant>
      <vt:variant>
        <vt:i4>5</vt:i4>
      </vt:variant>
      <vt:variant>
        <vt:lpwstr/>
      </vt:variant>
      <vt:variant>
        <vt:lpwstr>_Toc446535932</vt:lpwstr>
      </vt:variant>
      <vt:variant>
        <vt:i4>1048632</vt:i4>
      </vt:variant>
      <vt:variant>
        <vt:i4>408</vt:i4>
      </vt:variant>
      <vt:variant>
        <vt:i4>0</vt:i4>
      </vt:variant>
      <vt:variant>
        <vt:i4>5</vt:i4>
      </vt:variant>
      <vt:variant>
        <vt:lpwstr/>
      </vt:variant>
      <vt:variant>
        <vt:lpwstr>_Toc446535931</vt:lpwstr>
      </vt:variant>
      <vt:variant>
        <vt:i4>1048632</vt:i4>
      </vt:variant>
      <vt:variant>
        <vt:i4>402</vt:i4>
      </vt:variant>
      <vt:variant>
        <vt:i4>0</vt:i4>
      </vt:variant>
      <vt:variant>
        <vt:i4>5</vt:i4>
      </vt:variant>
      <vt:variant>
        <vt:lpwstr/>
      </vt:variant>
      <vt:variant>
        <vt:lpwstr>_Toc446535930</vt:lpwstr>
      </vt:variant>
      <vt:variant>
        <vt:i4>1114168</vt:i4>
      </vt:variant>
      <vt:variant>
        <vt:i4>396</vt:i4>
      </vt:variant>
      <vt:variant>
        <vt:i4>0</vt:i4>
      </vt:variant>
      <vt:variant>
        <vt:i4>5</vt:i4>
      </vt:variant>
      <vt:variant>
        <vt:lpwstr/>
      </vt:variant>
      <vt:variant>
        <vt:lpwstr>_Toc446535929</vt:lpwstr>
      </vt:variant>
      <vt:variant>
        <vt:i4>1114168</vt:i4>
      </vt:variant>
      <vt:variant>
        <vt:i4>390</vt:i4>
      </vt:variant>
      <vt:variant>
        <vt:i4>0</vt:i4>
      </vt:variant>
      <vt:variant>
        <vt:i4>5</vt:i4>
      </vt:variant>
      <vt:variant>
        <vt:lpwstr/>
      </vt:variant>
      <vt:variant>
        <vt:lpwstr>_Toc446535928</vt:lpwstr>
      </vt:variant>
      <vt:variant>
        <vt:i4>1114168</vt:i4>
      </vt:variant>
      <vt:variant>
        <vt:i4>384</vt:i4>
      </vt:variant>
      <vt:variant>
        <vt:i4>0</vt:i4>
      </vt:variant>
      <vt:variant>
        <vt:i4>5</vt:i4>
      </vt:variant>
      <vt:variant>
        <vt:lpwstr/>
      </vt:variant>
      <vt:variant>
        <vt:lpwstr>_Toc446535927</vt:lpwstr>
      </vt:variant>
      <vt:variant>
        <vt:i4>1114168</vt:i4>
      </vt:variant>
      <vt:variant>
        <vt:i4>378</vt:i4>
      </vt:variant>
      <vt:variant>
        <vt:i4>0</vt:i4>
      </vt:variant>
      <vt:variant>
        <vt:i4>5</vt:i4>
      </vt:variant>
      <vt:variant>
        <vt:lpwstr/>
      </vt:variant>
      <vt:variant>
        <vt:lpwstr>_Toc446535926</vt:lpwstr>
      </vt:variant>
      <vt:variant>
        <vt:i4>1114168</vt:i4>
      </vt:variant>
      <vt:variant>
        <vt:i4>372</vt:i4>
      </vt:variant>
      <vt:variant>
        <vt:i4>0</vt:i4>
      </vt:variant>
      <vt:variant>
        <vt:i4>5</vt:i4>
      </vt:variant>
      <vt:variant>
        <vt:lpwstr/>
      </vt:variant>
      <vt:variant>
        <vt:lpwstr>_Toc446535925</vt:lpwstr>
      </vt:variant>
      <vt:variant>
        <vt:i4>1114168</vt:i4>
      </vt:variant>
      <vt:variant>
        <vt:i4>366</vt:i4>
      </vt:variant>
      <vt:variant>
        <vt:i4>0</vt:i4>
      </vt:variant>
      <vt:variant>
        <vt:i4>5</vt:i4>
      </vt:variant>
      <vt:variant>
        <vt:lpwstr/>
      </vt:variant>
      <vt:variant>
        <vt:lpwstr>_Toc446535924</vt:lpwstr>
      </vt:variant>
      <vt:variant>
        <vt:i4>1114168</vt:i4>
      </vt:variant>
      <vt:variant>
        <vt:i4>360</vt:i4>
      </vt:variant>
      <vt:variant>
        <vt:i4>0</vt:i4>
      </vt:variant>
      <vt:variant>
        <vt:i4>5</vt:i4>
      </vt:variant>
      <vt:variant>
        <vt:lpwstr/>
      </vt:variant>
      <vt:variant>
        <vt:lpwstr>_Toc446535923</vt:lpwstr>
      </vt:variant>
      <vt:variant>
        <vt:i4>1114168</vt:i4>
      </vt:variant>
      <vt:variant>
        <vt:i4>354</vt:i4>
      </vt:variant>
      <vt:variant>
        <vt:i4>0</vt:i4>
      </vt:variant>
      <vt:variant>
        <vt:i4>5</vt:i4>
      </vt:variant>
      <vt:variant>
        <vt:lpwstr/>
      </vt:variant>
      <vt:variant>
        <vt:lpwstr>_Toc446535922</vt:lpwstr>
      </vt:variant>
      <vt:variant>
        <vt:i4>1114168</vt:i4>
      </vt:variant>
      <vt:variant>
        <vt:i4>348</vt:i4>
      </vt:variant>
      <vt:variant>
        <vt:i4>0</vt:i4>
      </vt:variant>
      <vt:variant>
        <vt:i4>5</vt:i4>
      </vt:variant>
      <vt:variant>
        <vt:lpwstr/>
      </vt:variant>
      <vt:variant>
        <vt:lpwstr>_Toc446535921</vt:lpwstr>
      </vt:variant>
      <vt:variant>
        <vt:i4>1114168</vt:i4>
      </vt:variant>
      <vt:variant>
        <vt:i4>342</vt:i4>
      </vt:variant>
      <vt:variant>
        <vt:i4>0</vt:i4>
      </vt:variant>
      <vt:variant>
        <vt:i4>5</vt:i4>
      </vt:variant>
      <vt:variant>
        <vt:lpwstr/>
      </vt:variant>
      <vt:variant>
        <vt:lpwstr>_Toc446535921</vt:lpwstr>
      </vt:variant>
      <vt:variant>
        <vt:i4>1114168</vt:i4>
      </vt:variant>
      <vt:variant>
        <vt:i4>336</vt:i4>
      </vt:variant>
      <vt:variant>
        <vt:i4>0</vt:i4>
      </vt:variant>
      <vt:variant>
        <vt:i4>5</vt:i4>
      </vt:variant>
      <vt:variant>
        <vt:lpwstr/>
      </vt:variant>
      <vt:variant>
        <vt:lpwstr>_Toc446535920</vt:lpwstr>
      </vt:variant>
      <vt:variant>
        <vt:i4>1179704</vt:i4>
      </vt:variant>
      <vt:variant>
        <vt:i4>330</vt:i4>
      </vt:variant>
      <vt:variant>
        <vt:i4>0</vt:i4>
      </vt:variant>
      <vt:variant>
        <vt:i4>5</vt:i4>
      </vt:variant>
      <vt:variant>
        <vt:lpwstr/>
      </vt:variant>
      <vt:variant>
        <vt:lpwstr>_Toc446535919</vt:lpwstr>
      </vt:variant>
      <vt:variant>
        <vt:i4>1179704</vt:i4>
      </vt:variant>
      <vt:variant>
        <vt:i4>324</vt:i4>
      </vt:variant>
      <vt:variant>
        <vt:i4>0</vt:i4>
      </vt:variant>
      <vt:variant>
        <vt:i4>5</vt:i4>
      </vt:variant>
      <vt:variant>
        <vt:lpwstr/>
      </vt:variant>
      <vt:variant>
        <vt:lpwstr>_Toc446535918</vt:lpwstr>
      </vt:variant>
      <vt:variant>
        <vt:i4>1179704</vt:i4>
      </vt:variant>
      <vt:variant>
        <vt:i4>318</vt:i4>
      </vt:variant>
      <vt:variant>
        <vt:i4>0</vt:i4>
      </vt:variant>
      <vt:variant>
        <vt:i4>5</vt:i4>
      </vt:variant>
      <vt:variant>
        <vt:lpwstr/>
      </vt:variant>
      <vt:variant>
        <vt:lpwstr>_Toc446535917</vt:lpwstr>
      </vt:variant>
      <vt:variant>
        <vt:i4>1179704</vt:i4>
      </vt:variant>
      <vt:variant>
        <vt:i4>312</vt:i4>
      </vt:variant>
      <vt:variant>
        <vt:i4>0</vt:i4>
      </vt:variant>
      <vt:variant>
        <vt:i4>5</vt:i4>
      </vt:variant>
      <vt:variant>
        <vt:lpwstr/>
      </vt:variant>
      <vt:variant>
        <vt:lpwstr>_Toc446535916</vt:lpwstr>
      </vt:variant>
      <vt:variant>
        <vt:i4>1179704</vt:i4>
      </vt:variant>
      <vt:variant>
        <vt:i4>306</vt:i4>
      </vt:variant>
      <vt:variant>
        <vt:i4>0</vt:i4>
      </vt:variant>
      <vt:variant>
        <vt:i4>5</vt:i4>
      </vt:variant>
      <vt:variant>
        <vt:lpwstr/>
      </vt:variant>
      <vt:variant>
        <vt:lpwstr>_Toc446535915</vt:lpwstr>
      </vt:variant>
      <vt:variant>
        <vt:i4>1179704</vt:i4>
      </vt:variant>
      <vt:variant>
        <vt:i4>300</vt:i4>
      </vt:variant>
      <vt:variant>
        <vt:i4>0</vt:i4>
      </vt:variant>
      <vt:variant>
        <vt:i4>5</vt:i4>
      </vt:variant>
      <vt:variant>
        <vt:lpwstr/>
      </vt:variant>
      <vt:variant>
        <vt:lpwstr>_Toc446535914</vt:lpwstr>
      </vt:variant>
      <vt:variant>
        <vt:i4>1179704</vt:i4>
      </vt:variant>
      <vt:variant>
        <vt:i4>294</vt:i4>
      </vt:variant>
      <vt:variant>
        <vt:i4>0</vt:i4>
      </vt:variant>
      <vt:variant>
        <vt:i4>5</vt:i4>
      </vt:variant>
      <vt:variant>
        <vt:lpwstr/>
      </vt:variant>
      <vt:variant>
        <vt:lpwstr>_Toc446535913</vt:lpwstr>
      </vt:variant>
      <vt:variant>
        <vt:i4>1179704</vt:i4>
      </vt:variant>
      <vt:variant>
        <vt:i4>288</vt:i4>
      </vt:variant>
      <vt:variant>
        <vt:i4>0</vt:i4>
      </vt:variant>
      <vt:variant>
        <vt:i4>5</vt:i4>
      </vt:variant>
      <vt:variant>
        <vt:lpwstr/>
      </vt:variant>
      <vt:variant>
        <vt:lpwstr>_Toc446535912</vt:lpwstr>
      </vt:variant>
      <vt:variant>
        <vt:i4>1179704</vt:i4>
      </vt:variant>
      <vt:variant>
        <vt:i4>282</vt:i4>
      </vt:variant>
      <vt:variant>
        <vt:i4>0</vt:i4>
      </vt:variant>
      <vt:variant>
        <vt:i4>5</vt:i4>
      </vt:variant>
      <vt:variant>
        <vt:lpwstr/>
      </vt:variant>
      <vt:variant>
        <vt:lpwstr>_Toc446535911</vt:lpwstr>
      </vt:variant>
      <vt:variant>
        <vt:i4>1179704</vt:i4>
      </vt:variant>
      <vt:variant>
        <vt:i4>276</vt:i4>
      </vt:variant>
      <vt:variant>
        <vt:i4>0</vt:i4>
      </vt:variant>
      <vt:variant>
        <vt:i4>5</vt:i4>
      </vt:variant>
      <vt:variant>
        <vt:lpwstr/>
      </vt:variant>
      <vt:variant>
        <vt:lpwstr>_Toc446535910</vt:lpwstr>
      </vt:variant>
      <vt:variant>
        <vt:i4>1245240</vt:i4>
      </vt:variant>
      <vt:variant>
        <vt:i4>270</vt:i4>
      </vt:variant>
      <vt:variant>
        <vt:i4>0</vt:i4>
      </vt:variant>
      <vt:variant>
        <vt:i4>5</vt:i4>
      </vt:variant>
      <vt:variant>
        <vt:lpwstr/>
      </vt:variant>
      <vt:variant>
        <vt:lpwstr>_Toc446535909</vt:lpwstr>
      </vt:variant>
      <vt:variant>
        <vt:i4>1245240</vt:i4>
      </vt:variant>
      <vt:variant>
        <vt:i4>264</vt:i4>
      </vt:variant>
      <vt:variant>
        <vt:i4>0</vt:i4>
      </vt:variant>
      <vt:variant>
        <vt:i4>5</vt:i4>
      </vt:variant>
      <vt:variant>
        <vt:lpwstr/>
      </vt:variant>
      <vt:variant>
        <vt:lpwstr>_Toc446535908</vt:lpwstr>
      </vt:variant>
      <vt:variant>
        <vt:i4>1245240</vt:i4>
      </vt:variant>
      <vt:variant>
        <vt:i4>258</vt:i4>
      </vt:variant>
      <vt:variant>
        <vt:i4>0</vt:i4>
      </vt:variant>
      <vt:variant>
        <vt:i4>5</vt:i4>
      </vt:variant>
      <vt:variant>
        <vt:lpwstr/>
      </vt:variant>
      <vt:variant>
        <vt:lpwstr>_Toc446535907</vt:lpwstr>
      </vt:variant>
      <vt:variant>
        <vt:i4>1245240</vt:i4>
      </vt:variant>
      <vt:variant>
        <vt:i4>252</vt:i4>
      </vt:variant>
      <vt:variant>
        <vt:i4>0</vt:i4>
      </vt:variant>
      <vt:variant>
        <vt:i4>5</vt:i4>
      </vt:variant>
      <vt:variant>
        <vt:lpwstr/>
      </vt:variant>
      <vt:variant>
        <vt:lpwstr>_Toc446535906</vt:lpwstr>
      </vt:variant>
      <vt:variant>
        <vt:i4>1245240</vt:i4>
      </vt:variant>
      <vt:variant>
        <vt:i4>246</vt:i4>
      </vt:variant>
      <vt:variant>
        <vt:i4>0</vt:i4>
      </vt:variant>
      <vt:variant>
        <vt:i4>5</vt:i4>
      </vt:variant>
      <vt:variant>
        <vt:lpwstr/>
      </vt:variant>
      <vt:variant>
        <vt:lpwstr>_Toc446535905</vt:lpwstr>
      </vt:variant>
      <vt:variant>
        <vt:i4>1245240</vt:i4>
      </vt:variant>
      <vt:variant>
        <vt:i4>240</vt:i4>
      </vt:variant>
      <vt:variant>
        <vt:i4>0</vt:i4>
      </vt:variant>
      <vt:variant>
        <vt:i4>5</vt:i4>
      </vt:variant>
      <vt:variant>
        <vt:lpwstr/>
      </vt:variant>
      <vt:variant>
        <vt:lpwstr>_Toc446535904</vt:lpwstr>
      </vt:variant>
      <vt:variant>
        <vt:i4>1245240</vt:i4>
      </vt:variant>
      <vt:variant>
        <vt:i4>234</vt:i4>
      </vt:variant>
      <vt:variant>
        <vt:i4>0</vt:i4>
      </vt:variant>
      <vt:variant>
        <vt:i4>5</vt:i4>
      </vt:variant>
      <vt:variant>
        <vt:lpwstr/>
      </vt:variant>
      <vt:variant>
        <vt:lpwstr>_Toc446535903</vt:lpwstr>
      </vt:variant>
      <vt:variant>
        <vt:i4>1245240</vt:i4>
      </vt:variant>
      <vt:variant>
        <vt:i4>228</vt:i4>
      </vt:variant>
      <vt:variant>
        <vt:i4>0</vt:i4>
      </vt:variant>
      <vt:variant>
        <vt:i4>5</vt:i4>
      </vt:variant>
      <vt:variant>
        <vt:lpwstr/>
      </vt:variant>
      <vt:variant>
        <vt:lpwstr>_Toc446535902</vt:lpwstr>
      </vt:variant>
      <vt:variant>
        <vt:i4>1245240</vt:i4>
      </vt:variant>
      <vt:variant>
        <vt:i4>222</vt:i4>
      </vt:variant>
      <vt:variant>
        <vt:i4>0</vt:i4>
      </vt:variant>
      <vt:variant>
        <vt:i4>5</vt:i4>
      </vt:variant>
      <vt:variant>
        <vt:lpwstr/>
      </vt:variant>
      <vt:variant>
        <vt:lpwstr>_Toc446535901</vt:lpwstr>
      </vt:variant>
      <vt:variant>
        <vt:i4>1245240</vt:i4>
      </vt:variant>
      <vt:variant>
        <vt:i4>216</vt:i4>
      </vt:variant>
      <vt:variant>
        <vt:i4>0</vt:i4>
      </vt:variant>
      <vt:variant>
        <vt:i4>5</vt:i4>
      </vt:variant>
      <vt:variant>
        <vt:lpwstr/>
      </vt:variant>
      <vt:variant>
        <vt:lpwstr>_Toc446535900</vt:lpwstr>
      </vt:variant>
      <vt:variant>
        <vt:i4>1703993</vt:i4>
      </vt:variant>
      <vt:variant>
        <vt:i4>210</vt:i4>
      </vt:variant>
      <vt:variant>
        <vt:i4>0</vt:i4>
      </vt:variant>
      <vt:variant>
        <vt:i4>5</vt:i4>
      </vt:variant>
      <vt:variant>
        <vt:lpwstr/>
      </vt:variant>
      <vt:variant>
        <vt:lpwstr>_Toc446535899</vt:lpwstr>
      </vt:variant>
      <vt:variant>
        <vt:i4>1703993</vt:i4>
      </vt:variant>
      <vt:variant>
        <vt:i4>204</vt:i4>
      </vt:variant>
      <vt:variant>
        <vt:i4>0</vt:i4>
      </vt:variant>
      <vt:variant>
        <vt:i4>5</vt:i4>
      </vt:variant>
      <vt:variant>
        <vt:lpwstr/>
      </vt:variant>
      <vt:variant>
        <vt:lpwstr>_Toc446535898</vt:lpwstr>
      </vt:variant>
      <vt:variant>
        <vt:i4>1703993</vt:i4>
      </vt:variant>
      <vt:variant>
        <vt:i4>198</vt:i4>
      </vt:variant>
      <vt:variant>
        <vt:i4>0</vt:i4>
      </vt:variant>
      <vt:variant>
        <vt:i4>5</vt:i4>
      </vt:variant>
      <vt:variant>
        <vt:lpwstr/>
      </vt:variant>
      <vt:variant>
        <vt:lpwstr>_Toc446535897</vt:lpwstr>
      </vt:variant>
      <vt:variant>
        <vt:i4>1703993</vt:i4>
      </vt:variant>
      <vt:variant>
        <vt:i4>192</vt:i4>
      </vt:variant>
      <vt:variant>
        <vt:i4>0</vt:i4>
      </vt:variant>
      <vt:variant>
        <vt:i4>5</vt:i4>
      </vt:variant>
      <vt:variant>
        <vt:lpwstr/>
      </vt:variant>
      <vt:variant>
        <vt:lpwstr>_Toc446535896</vt:lpwstr>
      </vt:variant>
      <vt:variant>
        <vt:i4>1703993</vt:i4>
      </vt:variant>
      <vt:variant>
        <vt:i4>186</vt:i4>
      </vt:variant>
      <vt:variant>
        <vt:i4>0</vt:i4>
      </vt:variant>
      <vt:variant>
        <vt:i4>5</vt:i4>
      </vt:variant>
      <vt:variant>
        <vt:lpwstr/>
      </vt:variant>
      <vt:variant>
        <vt:lpwstr>_Toc446535894</vt:lpwstr>
      </vt:variant>
      <vt:variant>
        <vt:i4>1703993</vt:i4>
      </vt:variant>
      <vt:variant>
        <vt:i4>180</vt:i4>
      </vt:variant>
      <vt:variant>
        <vt:i4>0</vt:i4>
      </vt:variant>
      <vt:variant>
        <vt:i4>5</vt:i4>
      </vt:variant>
      <vt:variant>
        <vt:lpwstr/>
      </vt:variant>
      <vt:variant>
        <vt:lpwstr>_Toc446535893</vt:lpwstr>
      </vt:variant>
      <vt:variant>
        <vt:i4>1703993</vt:i4>
      </vt:variant>
      <vt:variant>
        <vt:i4>174</vt:i4>
      </vt:variant>
      <vt:variant>
        <vt:i4>0</vt:i4>
      </vt:variant>
      <vt:variant>
        <vt:i4>5</vt:i4>
      </vt:variant>
      <vt:variant>
        <vt:lpwstr/>
      </vt:variant>
      <vt:variant>
        <vt:lpwstr>_Toc446535892</vt:lpwstr>
      </vt:variant>
      <vt:variant>
        <vt:i4>1703993</vt:i4>
      </vt:variant>
      <vt:variant>
        <vt:i4>168</vt:i4>
      </vt:variant>
      <vt:variant>
        <vt:i4>0</vt:i4>
      </vt:variant>
      <vt:variant>
        <vt:i4>5</vt:i4>
      </vt:variant>
      <vt:variant>
        <vt:lpwstr/>
      </vt:variant>
      <vt:variant>
        <vt:lpwstr>_Toc446535891</vt:lpwstr>
      </vt:variant>
      <vt:variant>
        <vt:i4>1703993</vt:i4>
      </vt:variant>
      <vt:variant>
        <vt:i4>162</vt:i4>
      </vt:variant>
      <vt:variant>
        <vt:i4>0</vt:i4>
      </vt:variant>
      <vt:variant>
        <vt:i4>5</vt:i4>
      </vt:variant>
      <vt:variant>
        <vt:lpwstr/>
      </vt:variant>
      <vt:variant>
        <vt:lpwstr>_Toc446535890</vt:lpwstr>
      </vt:variant>
      <vt:variant>
        <vt:i4>1769529</vt:i4>
      </vt:variant>
      <vt:variant>
        <vt:i4>156</vt:i4>
      </vt:variant>
      <vt:variant>
        <vt:i4>0</vt:i4>
      </vt:variant>
      <vt:variant>
        <vt:i4>5</vt:i4>
      </vt:variant>
      <vt:variant>
        <vt:lpwstr/>
      </vt:variant>
      <vt:variant>
        <vt:lpwstr>_Toc446535889</vt:lpwstr>
      </vt:variant>
      <vt:variant>
        <vt:i4>1769529</vt:i4>
      </vt:variant>
      <vt:variant>
        <vt:i4>150</vt:i4>
      </vt:variant>
      <vt:variant>
        <vt:i4>0</vt:i4>
      </vt:variant>
      <vt:variant>
        <vt:i4>5</vt:i4>
      </vt:variant>
      <vt:variant>
        <vt:lpwstr/>
      </vt:variant>
      <vt:variant>
        <vt:lpwstr>_Toc446535888</vt:lpwstr>
      </vt:variant>
      <vt:variant>
        <vt:i4>1769529</vt:i4>
      </vt:variant>
      <vt:variant>
        <vt:i4>144</vt:i4>
      </vt:variant>
      <vt:variant>
        <vt:i4>0</vt:i4>
      </vt:variant>
      <vt:variant>
        <vt:i4>5</vt:i4>
      </vt:variant>
      <vt:variant>
        <vt:lpwstr/>
      </vt:variant>
      <vt:variant>
        <vt:lpwstr>_Toc446535887</vt:lpwstr>
      </vt:variant>
      <vt:variant>
        <vt:i4>1769529</vt:i4>
      </vt:variant>
      <vt:variant>
        <vt:i4>138</vt:i4>
      </vt:variant>
      <vt:variant>
        <vt:i4>0</vt:i4>
      </vt:variant>
      <vt:variant>
        <vt:i4>5</vt:i4>
      </vt:variant>
      <vt:variant>
        <vt:lpwstr/>
      </vt:variant>
      <vt:variant>
        <vt:lpwstr>_Toc446535886</vt:lpwstr>
      </vt:variant>
      <vt:variant>
        <vt:i4>1769529</vt:i4>
      </vt:variant>
      <vt:variant>
        <vt:i4>132</vt:i4>
      </vt:variant>
      <vt:variant>
        <vt:i4>0</vt:i4>
      </vt:variant>
      <vt:variant>
        <vt:i4>5</vt:i4>
      </vt:variant>
      <vt:variant>
        <vt:lpwstr/>
      </vt:variant>
      <vt:variant>
        <vt:lpwstr>_Toc446535885</vt:lpwstr>
      </vt:variant>
      <vt:variant>
        <vt:i4>1769529</vt:i4>
      </vt:variant>
      <vt:variant>
        <vt:i4>126</vt:i4>
      </vt:variant>
      <vt:variant>
        <vt:i4>0</vt:i4>
      </vt:variant>
      <vt:variant>
        <vt:i4>5</vt:i4>
      </vt:variant>
      <vt:variant>
        <vt:lpwstr/>
      </vt:variant>
      <vt:variant>
        <vt:lpwstr>_Toc446535884</vt:lpwstr>
      </vt:variant>
      <vt:variant>
        <vt:i4>1769529</vt:i4>
      </vt:variant>
      <vt:variant>
        <vt:i4>120</vt:i4>
      </vt:variant>
      <vt:variant>
        <vt:i4>0</vt:i4>
      </vt:variant>
      <vt:variant>
        <vt:i4>5</vt:i4>
      </vt:variant>
      <vt:variant>
        <vt:lpwstr/>
      </vt:variant>
      <vt:variant>
        <vt:lpwstr>_Toc446535883</vt:lpwstr>
      </vt:variant>
      <vt:variant>
        <vt:i4>1769529</vt:i4>
      </vt:variant>
      <vt:variant>
        <vt:i4>114</vt:i4>
      </vt:variant>
      <vt:variant>
        <vt:i4>0</vt:i4>
      </vt:variant>
      <vt:variant>
        <vt:i4>5</vt:i4>
      </vt:variant>
      <vt:variant>
        <vt:lpwstr/>
      </vt:variant>
      <vt:variant>
        <vt:lpwstr>_Toc446535882</vt:lpwstr>
      </vt:variant>
      <vt:variant>
        <vt:i4>1769529</vt:i4>
      </vt:variant>
      <vt:variant>
        <vt:i4>108</vt:i4>
      </vt:variant>
      <vt:variant>
        <vt:i4>0</vt:i4>
      </vt:variant>
      <vt:variant>
        <vt:i4>5</vt:i4>
      </vt:variant>
      <vt:variant>
        <vt:lpwstr/>
      </vt:variant>
      <vt:variant>
        <vt:lpwstr>_Toc446535881</vt:lpwstr>
      </vt:variant>
      <vt:variant>
        <vt:i4>1769529</vt:i4>
      </vt:variant>
      <vt:variant>
        <vt:i4>102</vt:i4>
      </vt:variant>
      <vt:variant>
        <vt:i4>0</vt:i4>
      </vt:variant>
      <vt:variant>
        <vt:i4>5</vt:i4>
      </vt:variant>
      <vt:variant>
        <vt:lpwstr/>
      </vt:variant>
      <vt:variant>
        <vt:lpwstr>_Toc446535880</vt:lpwstr>
      </vt:variant>
      <vt:variant>
        <vt:i4>1310777</vt:i4>
      </vt:variant>
      <vt:variant>
        <vt:i4>96</vt:i4>
      </vt:variant>
      <vt:variant>
        <vt:i4>0</vt:i4>
      </vt:variant>
      <vt:variant>
        <vt:i4>5</vt:i4>
      </vt:variant>
      <vt:variant>
        <vt:lpwstr/>
      </vt:variant>
      <vt:variant>
        <vt:lpwstr>_Toc446535879</vt:lpwstr>
      </vt:variant>
      <vt:variant>
        <vt:i4>1310777</vt:i4>
      </vt:variant>
      <vt:variant>
        <vt:i4>90</vt:i4>
      </vt:variant>
      <vt:variant>
        <vt:i4>0</vt:i4>
      </vt:variant>
      <vt:variant>
        <vt:i4>5</vt:i4>
      </vt:variant>
      <vt:variant>
        <vt:lpwstr/>
      </vt:variant>
      <vt:variant>
        <vt:lpwstr>_Toc446535878</vt:lpwstr>
      </vt:variant>
      <vt:variant>
        <vt:i4>1310777</vt:i4>
      </vt:variant>
      <vt:variant>
        <vt:i4>84</vt:i4>
      </vt:variant>
      <vt:variant>
        <vt:i4>0</vt:i4>
      </vt:variant>
      <vt:variant>
        <vt:i4>5</vt:i4>
      </vt:variant>
      <vt:variant>
        <vt:lpwstr/>
      </vt:variant>
      <vt:variant>
        <vt:lpwstr>_Toc446535877</vt:lpwstr>
      </vt:variant>
      <vt:variant>
        <vt:i4>1310777</vt:i4>
      </vt:variant>
      <vt:variant>
        <vt:i4>78</vt:i4>
      </vt:variant>
      <vt:variant>
        <vt:i4>0</vt:i4>
      </vt:variant>
      <vt:variant>
        <vt:i4>5</vt:i4>
      </vt:variant>
      <vt:variant>
        <vt:lpwstr/>
      </vt:variant>
      <vt:variant>
        <vt:lpwstr>_Toc446535876</vt:lpwstr>
      </vt:variant>
      <vt:variant>
        <vt:i4>1310777</vt:i4>
      </vt:variant>
      <vt:variant>
        <vt:i4>72</vt:i4>
      </vt:variant>
      <vt:variant>
        <vt:i4>0</vt:i4>
      </vt:variant>
      <vt:variant>
        <vt:i4>5</vt:i4>
      </vt:variant>
      <vt:variant>
        <vt:lpwstr/>
      </vt:variant>
      <vt:variant>
        <vt:lpwstr>_Toc446535875</vt:lpwstr>
      </vt:variant>
      <vt:variant>
        <vt:i4>1310777</vt:i4>
      </vt:variant>
      <vt:variant>
        <vt:i4>66</vt:i4>
      </vt:variant>
      <vt:variant>
        <vt:i4>0</vt:i4>
      </vt:variant>
      <vt:variant>
        <vt:i4>5</vt:i4>
      </vt:variant>
      <vt:variant>
        <vt:lpwstr/>
      </vt:variant>
      <vt:variant>
        <vt:lpwstr>_Toc446535874</vt:lpwstr>
      </vt:variant>
      <vt:variant>
        <vt:i4>1310777</vt:i4>
      </vt:variant>
      <vt:variant>
        <vt:i4>60</vt:i4>
      </vt:variant>
      <vt:variant>
        <vt:i4>0</vt:i4>
      </vt:variant>
      <vt:variant>
        <vt:i4>5</vt:i4>
      </vt:variant>
      <vt:variant>
        <vt:lpwstr/>
      </vt:variant>
      <vt:variant>
        <vt:lpwstr>_Toc446535873</vt:lpwstr>
      </vt:variant>
      <vt:variant>
        <vt:i4>1310777</vt:i4>
      </vt:variant>
      <vt:variant>
        <vt:i4>54</vt:i4>
      </vt:variant>
      <vt:variant>
        <vt:i4>0</vt:i4>
      </vt:variant>
      <vt:variant>
        <vt:i4>5</vt:i4>
      </vt:variant>
      <vt:variant>
        <vt:lpwstr/>
      </vt:variant>
      <vt:variant>
        <vt:lpwstr>_Toc446535872</vt:lpwstr>
      </vt:variant>
      <vt:variant>
        <vt:i4>1310777</vt:i4>
      </vt:variant>
      <vt:variant>
        <vt:i4>48</vt:i4>
      </vt:variant>
      <vt:variant>
        <vt:i4>0</vt:i4>
      </vt:variant>
      <vt:variant>
        <vt:i4>5</vt:i4>
      </vt:variant>
      <vt:variant>
        <vt:lpwstr/>
      </vt:variant>
      <vt:variant>
        <vt:lpwstr>_Toc446535871</vt:lpwstr>
      </vt:variant>
      <vt:variant>
        <vt:i4>1310777</vt:i4>
      </vt:variant>
      <vt:variant>
        <vt:i4>42</vt:i4>
      </vt:variant>
      <vt:variant>
        <vt:i4>0</vt:i4>
      </vt:variant>
      <vt:variant>
        <vt:i4>5</vt:i4>
      </vt:variant>
      <vt:variant>
        <vt:lpwstr/>
      </vt:variant>
      <vt:variant>
        <vt:lpwstr>_Toc446535870</vt:lpwstr>
      </vt:variant>
      <vt:variant>
        <vt:i4>1376313</vt:i4>
      </vt:variant>
      <vt:variant>
        <vt:i4>36</vt:i4>
      </vt:variant>
      <vt:variant>
        <vt:i4>0</vt:i4>
      </vt:variant>
      <vt:variant>
        <vt:i4>5</vt:i4>
      </vt:variant>
      <vt:variant>
        <vt:lpwstr/>
      </vt:variant>
      <vt:variant>
        <vt:lpwstr>_Toc446535867</vt:lpwstr>
      </vt:variant>
      <vt:variant>
        <vt:i4>1376313</vt:i4>
      </vt:variant>
      <vt:variant>
        <vt:i4>30</vt:i4>
      </vt:variant>
      <vt:variant>
        <vt:i4>0</vt:i4>
      </vt:variant>
      <vt:variant>
        <vt:i4>5</vt:i4>
      </vt:variant>
      <vt:variant>
        <vt:lpwstr/>
      </vt:variant>
      <vt:variant>
        <vt:lpwstr>_Toc446535866</vt:lpwstr>
      </vt:variant>
      <vt:variant>
        <vt:i4>1376313</vt:i4>
      </vt:variant>
      <vt:variant>
        <vt:i4>24</vt:i4>
      </vt:variant>
      <vt:variant>
        <vt:i4>0</vt:i4>
      </vt:variant>
      <vt:variant>
        <vt:i4>5</vt:i4>
      </vt:variant>
      <vt:variant>
        <vt:lpwstr/>
      </vt:variant>
      <vt:variant>
        <vt:lpwstr>_Toc446535865</vt:lpwstr>
      </vt:variant>
      <vt:variant>
        <vt:i4>1376313</vt:i4>
      </vt:variant>
      <vt:variant>
        <vt:i4>18</vt:i4>
      </vt:variant>
      <vt:variant>
        <vt:i4>0</vt:i4>
      </vt:variant>
      <vt:variant>
        <vt:i4>5</vt:i4>
      </vt:variant>
      <vt:variant>
        <vt:lpwstr/>
      </vt:variant>
      <vt:variant>
        <vt:lpwstr>_Toc446535864</vt:lpwstr>
      </vt:variant>
      <vt:variant>
        <vt:i4>1376313</vt:i4>
      </vt:variant>
      <vt:variant>
        <vt:i4>12</vt:i4>
      </vt:variant>
      <vt:variant>
        <vt:i4>0</vt:i4>
      </vt:variant>
      <vt:variant>
        <vt:i4>5</vt:i4>
      </vt:variant>
      <vt:variant>
        <vt:lpwstr/>
      </vt:variant>
      <vt:variant>
        <vt:lpwstr>_Toc446535863</vt:lpwstr>
      </vt:variant>
      <vt:variant>
        <vt:i4>1376313</vt:i4>
      </vt:variant>
      <vt:variant>
        <vt:i4>6</vt:i4>
      </vt:variant>
      <vt:variant>
        <vt:i4>0</vt:i4>
      </vt:variant>
      <vt:variant>
        <vt:i4>5</vt:i4>
      </vt:variant>
      <vt:variant>
        <vt:lpwstr/>
      </vt:variant>
      <vt:variant>
        <vt:lpwstr>_Toc446535862</vt:lpwstr>
      </vt:variant>
      <vt:variant>
        <vt:i4>1376313</vt:i4>
      </vt:variant>
      <vt:variant>
        <vt:i4>3</vt:i4>
      </vt:variant>
      <vt:variant>
        <vt:i4>0</vt:i4>
      </vt:variant>
      <vt:variant>
        <vt:i4>5</vt:i4>
      </vt:variant>
      <vt:variant>
        <vt:lpwstr/>
      </vt:variant>
      <vt:variant>
        <vt:lpwstr>_Toc446535861</vt:lpwstr>
      </vt:variant>
      <vt:variant>
        <vt:i4>1376313</vt:i4>
      </vt:variant>
      <vt:variant>
        <vt:i4>0</vt:i4>
      </vt:variant>
      <vt:variant>
        <vt:i4>0</vt:i4>
      </vt:variant>
      <vt:variant>
        <vt:i4>5</vt:i4>
      </vt:variant>
      <vt:variant>
        <vt:lpwstr/>
      </vt:variant>
      <vt:variant>
        <vt:lpwstr>_Toc446535860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CHIRITA Tudor Cristian (EAC)</dc:creator>
  <cp:lastModifiedBy>RIBEIRO CARVALHO Carla (DGT)</cp:lastModifiedBy>
  <cp:revision>8</cp:revision>
  <cp:lastPrinted>2019-04-30T13:05:00Z</cp:lastPrinted>
  <dcterms:created xsi:type="dcterms:W3CDTF">2019-04-30T14:40:00Z</dcterms:created>
  <dcterms:modified xsi:type="dcterms:W3CDTF">2019-05-23T08:32:00Z</dcterms:modified>
</cp:coreProperties>
</file>